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1112D" w14:textId="77777777" w:rsidR="00910D57" w:rsidRPr="00D22AA3" w:rsidRDefault="00910D57" w:rsidP="00910D57">
      <w:pPr>
        <w:spacing w:after="0" w:line="240" w:lineRule="auto"/>
        <w:contextualSpacing/>
        <w:jc w:val="right"/>
        <w:rPr>
          <w:rFonts w:asciiTheme="majorHAnsi" w:eastAsiaTheme="majorEastAsia" w:hAnsiTheme="majorHAnsi" w:cstheme="majorBidi"/>
          <w:i/>
          <w:caps/>
          <w:color w:val="404040" w:themeColor="text1" w:themeTint="BF"/>
          <w:spacing w:val="-10"/>
          <w:sz w:val="44"/>
          <w:szCs w:val="72"/>
          <w:lang w:eastAsia="en-US"/>
        </w:rPr>
      </w:pPr>
      <w:r w:rsidRPr="00742895">
        <w:rPr>
          <w:rFonts w:asciiTheme="majorHAnsi" w:eastAsiaTheme="majorEastAsia" w:hAnsiTheme="majorHAnsi" w:cstheme="majorBidi"/>
          <w:i/>
          <w:caps/>
          <w:noProof/>
          <w:color w:val="FF0000"/>
          <w:spacing w:val="-10"/>
          <w:sz w:val="32"/>
          <w:szCs w:val="72"/>
        </w:rPr>
        <w:drawing>
          <wp:anchor distT="0" distB="0" distL="114300" distR="114300" simplePos="0" relativeHeight="251659264" behindDoc="1" locked="0" layoutInCell="1" allowOverlap="1" wp14:anchorId="224CD00E" wp14:editId="77D6615B">
            <wp:simplePos x="0" y="0"/>
            <wp:positionH relativeFrom="margin">
              <wp:align>left</wp:align>
            </wp:positionH>
            <wp:positionV relativeFrom="paragraph">
              <wp:posOffset>0</wp:posOffset>
            </wp:positionV>
            <wp:extent cx="771525" cy="771525"/>
            <wp:effectExtent l="0" t="0" r="9525" b="9525"/>
            <wp:wrapTight wrapText="bothSides">
              <wp:wrapPolygon edited="0">
                <wp:start x="0" y="0"/>
                <wp:lineTo x="0" y="21333"/>
                <wp:lineTo x="21333" y="21333"/>
                <wp:lineTo x="2133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our logo here.png"/>
                    <pic:cNvPicPr/>
                  </pic:nvPicPr>
                  <pic:blipFill>
                    <a:blip r:embed="rId8">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14:sizeRelH relativeFrom="margin">
              <wp14:pctWidth>0</wp14:pctWidth>
            </wp14:sizeRelH>
            <wp14:sizeRelV relativeFrom="margin">
              <wp14:pctHeight>0</wp14:pctHeight>
            </wp14:sizeRelV>
          </wp:anchor>
        </w:drawing>
      </w:r>
      <w:r w:rsidRPr="00742895">
        <w:rPr>
          <w:rFonts w:asciiTheme="majorHAnsi" w:eastAsiaTheme="majorEastAsia" w:hAnsiTheme="majorHAnsi" w:cstheme="majorBidi"/>
          <w:i/>
          <w:caps/>
          <w:color w:val="FF0000"/>
          <w:spacing w:val="-10"/>
          <w:sz w:val="32"/>
          <w:szCs w:val="72"/>
          <w:lang w:eastAsia="en-US"/>
        </w:rPr>
        <w:t>[Your organisation]</w:t>
      </w:r>
    </w:p>
    <w:p w14:paraId="71DAA898" w14:textId="1D71CD9E" w:rsidR="00D22AA3" w:rsidRPr="00D22AA3" w:rsidRDefault="00B03764" w:rsidP="00D22AA3">
      <w:pPr>
        <w:spacing w:after="0" w:line="240" w:lineRule="auto"/>
        <w:contextualSpacing/>
        <w:jc w:val="right"/>
        <w:rPr>
          <w:rFonts w:asciiTheme="majorHAnsi" w:eastAsiaTheme="majorEastAsia" w:hAnsiTheme="majorHAnsi" w:cstheme="majorBidi"/>
          <w:caps/>
          <w:color w:val="404040" w:themeColor="text1" w:themeTint="BF"/>
          <w:spacing w:val="-10"/>
          <w:sz w:val="72"/>
          <w:szCs w:val="72"/>
          <w:lang w:eastAsia="en-US"/>
        </w:rPr>
      </w:pPr>
      <w:r>
        <w:rPr>
          <w:rFonts w:asciiTheme="majorHAnsi" w:eastAsiaTheme="majorEastAsia" w:hAnsiTheme="majorHAnsi" w:cstheme="majorBidi"/>
          <w:caps/>
          <w:color w:val="404040" w:themeColor="text1" w:themeTint="BF"/>
          <w:spacing w:val="-10"/>
          <w:sz w:val="72"/>
          <w:szCs w:val="72"/>
          <w:lang w:eastAsia="en-US"/>
        </w:rPr>
        <w:t>VMIA Insurance</w:t>
      </w:r>
    </w:p>
    <w:p w14:paraId="0A37501D" w14:textId="77777777" w:rsidR="00D1131B" w:rsidRDefault="00D1131B" w:rsidP="00D22AA3">
      <w:pPr>
        <w:spacing w:after="0" w:line="240" w:lineRule="auto"/>
        <w:rPr>
          <w:rFonts w:eastAsia="Times New Roman" w:cstheme="minorHAnsi"/>
          <w:lang w:eastAsia="en-US"/>
        </w:rPr>
      </w:pPr>
    </w:p>
    <w:p w14:paraId="5BB2311F" w14:textId="77777777" w:rsidR="00742895" w:rsidRDefault="00742895" w:rsidP="00D22AA3">
      <w:pPr>
        <w:spacing w:after="0" w:line="240" w:lineRule="auto"/>
        <w:rPr>
          <w:rFonts w:eastAsia="Times New Roman" w:cstheme="minorHAnsi"/>
          <w:lang w:eastAsia="en-US"/>
        </w:rPr>
      </w:pPr>
    </w:p>
    <w:p w14:paraId="1F82CF3B" w14:textId="5D4B0E70" w:rsidR="00B03764" w:rsidRDefault="00B03764" w:rsidP="00D22AA3">
      <w:pPr>
        <w:spacing w:after="0" w:line="240" w:lineRule="auto"/>
        <w:rPr>
          <w:rFonts w:eastAsia="Times New Roman" w:cstheme="minorHAnsi"/>
          <w:lang w:eastAsia="en-US"/>
        </w:rPr>
      </w:pPr>
      <w:r>
        <w:rPr>
          <w:rFonts w:eastAsia="Times New Roman" w:cstheme="minorHAnsi"/>
          <w:lang w:eastAsia="en-US"/>
        </w:rPr>
        <w:t>As part of our service agreement for the Neighbourhood House Coordination program o</w:t>
      </w:r>
      <w:r w:rsidR="00184FA9">
        <w:rPr>
          <w:rFonts w:eastAsia="Times New Roman" w:cstheme="minorHAnsi"/>
          <w:lang w:eastAsia="en-US"/>
        </w:rPr>
        <w:t xml:space="preserve">ur </w:t>
      </w:r>
      <w:r w:rsidR="005615A2">
        <w:rPr>
          <w:rFonts w:eastAsia="Times New Roman" w:cstheme="minorHAnsi"/>
          <w:lang w:eastAsia="en-US"/>
        </w:rPr>
        <w:t>organisation</w:t>
      </w:r>
      <w:r w:rsidR="00184FA9">
        <w:rPr>
          <w:rFonts w:eastAsia="Times New Roman" w:cstheme="minorHAnsi"/>
          <w:lang w:eastAsia="en-US"/>
        </w:rPr>
        <w:t xml:space="preserve"> </w:t>
      </w:r>
      <w:r>
        <w:rPr>
          <w:rFonts w:eastAsia="Times New Roman" w:cstheme="minorHAnsi"/>
          <w:lang w:eastAsia="en-US"/>
        </w:rPr>
        <w:t>receives automatic insurance from the Victorian Managed Insurance Authority as a Community Service Organisation (CSO).</w:t>
      </w:r>
      <w:r w:rsidR="005B019A">
        <w:rPr>
          <w:rFonts w:eastAsia="Times New Roman" w:cstheme="minorHAnsi"/>
          <w:lang w:eastAsia="en-US"/>
        </w:rPr>
        <w:t xml:space="preserve"> </w:t>
      </w:r>
      <w:r>
        <w:rPr>
          <w:rFonts w:eastAsia="Times New Roman" w:cstheme="minorHAnsi"/>
          <w:lang w:eastAsia="en-US"/>
        </w:rPr>
        <w:t xml:space="preserve">Comprehensive Information on VMIA Insurance cover can be found: </w:t>
      </w:r>
    </w:p>
    <w:bookmarkStart w:id="0" w:name="_Hlk188430598"/>
    <w:p w14:paraId="047F1981" w14:textId="2179BC85" w:rsidR="00B03764" w:rsidRPr="00B03764" w:rsidRDefault="00B03764" w:rsidP="00B03764">
      <w:pPr>
        <w:pStyle w:val="ListParagraph"/>
        <w:numPr>
          <w:ilvl w:val="0"/>
          <w:numId w:val="11"/>
        </w:numPr>
        <w:spacing w:after="0" w:line="240" w:lineRule="auto"/>
        <w:rPr>
          <w:rFonts w:eastAsia="Times New Roman" w:cstheme="minorHAnsi"/>
          <w:lang w:eastAsia="en-US"/>
        </w:rPr>
      </w:pPr>
      <w:r>
        <w:rPr>
          <w:rFonts w:eastAsia="Times New Roman" w:cstheme="minorHAnsi"/>
          <w:lang w:eastAsia="en-US"/>
        </w:rPr>
        <w:fldChar w:fldCharType="begin"/>
      </w:r>
      <w:r>
        <w:rPr>
          <w:rFonts w:eastAsia="Times New Roman" w:cstheme="minorHAnsi"/>
          <w:lang w:eastAsia="en-US"/>
        </w:rPr>
        <w:instrText>HYPERLINK "chrome-extension://efaidnbmnnnibpcajpcglclefindmkaj/https:/www.vmia.vic.gov.au/-/media/Internet/Content-Documents/Insure/CSO-program/CSO-Insurance-Guide-2024-2025.pdf"</w:instrText>
      </w:r>
      <w:r>
        <w:rPr>
          <w:rFonts w:eastAsia="Times New Roman" w:cstheme="minorHAnsi"/>
          <w:lang w:eastAsia="en-US"/>
        </w:rPr>
      </w:r>
      <w:r>
        <w:rPr>
          <w:rFonts w:eastAsia="Times New Roman" w:cstheme="minorHAnsi"/>
          <w:lang w:eastAsia="en-US"/>
        </w:rPr>
        <w:fldChar w:fldCharType="separate"/>
      </w:r>
      <w:r w:rsidRPr="00B03764">
        <w:rPr>
          <w:rStyle w:val="Hyperlink"/>
          <w:rFonts w:eastAsia="Times New Roman" w:cstheme="minorHAnsi"/>
          <w:lang w:eastAsia="en-US"/>
        </w:rPr>
        <w:t>CSO Insurance Guide</w:t>
      </w:r>
      <w:r>
        <w:rPr>
          <w:rFonts w:eastAsia="Times New Roman" w:cstheme="minorHAnsi"/>
          <w:lang w:eastAsia="en-US"/>
        </w:rPr>
        <w:fldChar w:fldCharType="end"/>
      </w:r>
      <w:r>
        <w:rPr>
          <w:rFonts w:eastAsia="Times New Roman" w:cstheme="minorHAnsi"/>
          <w:lang w:eastAsia="en-US"/>
        </w:rPr>
        <w:t xml:space="preserve"> </w:t>
      </w:r>
    </w:p>
    <w:p w14:paraId="76D9DEDA" w14:textId="1B39BA1F" w:rsidR="00B03764" w:rsidRDefault="00B03764" w:rsidP="00B03764">
      <w:pPr>
        <w:pStyle w:val="ListParagraph"/>
        <w:numPr>
          <w:ilvl w:val="0"/>
          <w:numId w:val="11"/>
        </w:numPr>
        <w:spacing w:after="0" w:line="240" w:lineRule="auto"/>
        <w:rPr>
          <w:rFonts w:eastAsia="Times New Roman" w:cstheme="minorHAnsi"/>
          <w:lang w:eastAsia="en-US"/>
        </w:rPr>
      </w:pPr>
      <w:hyperlink r:id="rId9" w:history="1">
        <w:r w:rsidRPr="00B03764">
          <w:rPr>
            <w:rStyle w:val="Hyperlink"/>
            <w:rFonts w:eastAsia="Times New Roman" w:cstheme="minorHAnsi"/>
            <w:lang w:eastAsia="en-US"/>
          </w:rPr>
          <w:t>Neighbourhood House Quick Reference Guide</w:t>
        </w:r>
      </w:hyperlink>
      <w:bookmarkEnd w:id="0"/>
      <w:r w:rsidRPr="00B03764">
        <w:rPr>
          <w:rFonts w:eastAsia="Times New Roman" w:cstheme="minorHAnsi"/>
          <w:lang w:eastAsia="en-US"/>
        </w:rPr>
        <w:t xml:space="preserve"> </w:t>
      </w:r>
    </w:p>
    <w:p w14:paraId="5EBB0448" w14:textId="21C91CDD" w:rsidR="00B73AD1" w:rsidRPr="00D27B6E" w:rsidRDefault="00D27B6E" w:rsidP="005B019A">
      <w:pPr>
        <w:pStyle w:val="ListParagraph"/>
        <w:numPr>
          <w:ilvl w:val="0"/>
          <w:numId w:val="20"/>
        </w:numPr>
        <w:spacing w:after="0" w:line="240" w:lineRule="auto"/>
        <w:rPr>
          <w:rFonts w:eastAsia="Times New Roman" w:cstheme="minorHAnsi"/>
          <w:lang w:eastAsia="en-US"/>
        </w:rPr>
      </w:pPr>
      <w:bookmarkStart w:id="1" w:name="_Hlk188430612"/>
      <w:r w:rsidRPr="00D27B6E">
        <w:rPr>
          <w:rFonts w:eastAsia="Times New Roman" w:cstheme="minorHAnsi"/>
          <w:lang w:eastAsia="en-US"/>
        </w:rPr>
        <w:t xml:space="preserve">Contact: </w:t>
      </w:r>
      <w:r w:rsidR="00B73AD1" w:rsidRPr="00D27B6E">
        <w:rPr>
          <w:rFonts w:eastAsia="Times New Roman" w:cstheme="minorHAnsi"/>
          <w:lang w:eastAsia="en-US"/>
        </w:rPr>
        <w:t>03 9270 6990</w:t>
      </w:r>
      <w:r>
        <w:rPr>
          <w:rFonts w:eastAsia="Times New Roman" w:cstheme="minorHAnsi"/>
          <w:lang w:eastAsia="en-US"/>
        </w:rPr>
        <w:t xml:space="preserve">, </w:t>
      </w:r>
      <w:hyperlink r:id="rId10" w:history="1">
        <w:r w:rsidR="00B73AD1" w:rsidRPr="00D27B6E">
          <w:rPr>
            <w:rStyle w:val="Hyperlink"/>
            <w:rFonts w:eastAsia="Times New Roman" w:cstheme="minorHAnsi"/>
            <w:lang w:eastAsia="en-US"/>
          </w:rPr>
          <w:t>contact@vmia.vic.gov.au</w:t>
        </w:r>
      </w:hyperlink>
      <w:r w:rsidR="00B73AD1" w:rsidRPr="00D27B6E">
        <w:rPr>
          <w:rFonts w:eastAsia="Times New Roman" w:cstheme="minorHAnsi"/>
          <w:lang w:eastAsia="en-US"/>
        </w:rPr>
        <w:t xml:space="preserve"> </w:t>
      </w:r>
    </w:p>
    <w:bookmarkEnd w:id="1"/>
    <w:p w14:paraId="6944F711" w14:textId="77777777" w:rsidR="00B03764" w:rsidRDefault="00B03764" w:rsidP="00D22AA3">
      <w:pPr>
        <w:spacing w:after="0" w:line="240" w:lineRule="auto"/>
        <w:rPr>
          <w:rFonts w:eastAsia="Times New Roman" w:cstheme="minorHAnsi"/>
          <w:lang w:eastAsia="en-US"/>
        </w:rPr>
      </w:pPr>
    </w:p>
    <w:p w14:paraId="262C54B2" w14:textId="195D1896" w:rsidR="00B03764" w:rsidRDefault="00F3563E" w:rsidP="00D22AA3">
      <w:pPr>
        <w:spacing w:after="0" w:line="240" w:lineRule="auto"/>
        <w:rPr>
          <w:rFonts w:eastAsia="Times New Roman" w:cstheme="minorHAnsi"/>
          <w:lang w:eastAsia="en-US"/>
        </w:rPr>
      </w:pPr>
      <w:r>
        <w:rPr>
          <w:rFonts w:eastAsia="Times New Roman" w:cstheme="minorHAnsi"/>
          <w:lang w:eastAsia="en-US"/>
        </w:rPr>
        <w:t>Chief p</w:t>
      </w:r>
      <w:r w:rsidR="00B03764">
        <w:rPr>
          <w:rFonts w:eastAsia="Times New Roman" w:cstheme="minorHAnsi"/>
          <w:lang w:eastAsia="en-US"/>
        </w:rPr>
        <w:t>olicies provided</w:t>
      </w:r>
      <w:r>
        <w:rPr>
          <w:rFonts w:eastAsia="Times New Roman" w:cstheme="minorHAnsi"/>
          <w:lang w:eastAsia="en-US"/>
        </w:rPr>
        <w:t xml:space="preserve"> to</w:t>
      </w:r>
      <w:r w:rsidR="00B73AD1">
        <w:rPr>
          <w:rFonts w:eastAsia="Times New Roman" w:cstheme="minorHAnsi"/>
          <w:lang w:eastAsia="en-US"/>
        </w:rPr>
        <w:t xml:space="preserve"> safeguard </w:t>
      </w:r>
      <w:r>
        <w:rPr>
          <w:rFonts w:eastAsia="Times New Roman" w:cstheme="minorHAnsi"/>
          <w:lang w:eastAsia="en-US"/>
        </w:rPr>
        <w:t xml:space="preserve">neighbourhood houses include: </w:t>
      </w:r>
    </w:p>
    <w:p w14:paraId="41B5B8F2" w14:textId="77777777" w:rsidR="00834F0E" w:rsidRDefault="00834F0E" w:rsidP="00834F0E">
      <w:pPr>
        <w:spacing w:after="0" w:line="240" w:lineRule="auto"/>
        <w:rPr>
          <w:rFonts w:eastAsia="Times New Roman" w:cstheme="minorHAnsi"/>
          <w:lang w:eastAsia="en-US"/>
        </w:rPr>
      </w:pPr>
    </w:p>
    <w:p w14:paraId="110A685A" w14:textId="77777777" w:rsidR="00834F0E" w:rsidRPr="00B73AD1" w:rsidRDefault="00B03764" w:rsidP="00834F0E">
      <w:pPr>
        <w:spacing w:after="0" w:line="240" w:lineRule="auto"/>
        <w:rPr>
          <w:rFonts w:eastAsia="Times New Roman" w:cstheme="minorHAnsi"/>
          <w:b/>
          <w:bCs/>
          <w:u w:val="single"/>
          <w:lang w:eastAsia="en-US"/>
        </w:rPr>
      </w:pPr>
      <w:r w:rsidRPr="00B73AD1">
        <w:rPr>
          <w:rFonts w:eastAsia="Times New Roman" w:cstheme="minorHAnsi"/>
          <w:b/>
          <w:bCs/>
          <w:u w:val="single"/>
          <w:lang w:eastAsia="en-US"/>
        </w:rPr>
        <w:t>Directors and Officers Liability</w:t>
      </w:r>
    </w:p>
    <w:p w14:paraId="5C34D750" w14:textId="0182AD2E" w:rsidR="00834F0E" w:rsidRDefault="00834F0E" w:rsidP="64594043">
      <w:pPr>
        <w:pStyle w:val="ListParagraph"/>
        <w:numPr>
          <w:ilvl w:val="0"/>
          <w:numId w:val="14"/>
        </w:numPr>
        <w:spacing w:after="0" w:line="240" w:lineRule="auto"/>
        <w:rPr>
          <w:rFonts w:eastAsia="Times New Roman"/>
          <w:lang w:eastAsia="en-US"/>
        </w:rPr>
      </w:pPr>
      <w:r w:rsidRPr="64594043">
        <w:rPr>
          <w:rFonts w:eastAsia="Times New Roman"/>
          <w:lang w:eastAsia="en-US"/>
        </w:rPr>
        <w:t>C</w:t>
      </w:r>
      <w:r w:rsidR="00B03764" w:rsidRPr="64594043">
        <w:rPr>
          <w:rFonts w:eastAsia="Times New Roman"/>
          <w:lang w:eastAsia="en-US"/>
        </w:rPr>
        <w:t>over for claims made against your organisation’s directors and officers (including employment related matters) while acting in their capacity</w:t>
      </w:r>
      <w:r w:rsidRPr="64594043">
        <w:rPr>
          <w:rFonts w:eastAsia="Times New Roman"/>
          <w:lang w:eastAsia="en-US"/>
        </w:rPr>
        <w:t xml:space="preserve">. </w:t>
      </w:r>
    </w:p>
    <w:p w14:paraId="7639452E" w14:textId="77777777" w:rsidR="00834F0E" w:rsidRDefault="00834F0E" w:rsidP="00834F0E">
      <w:pPr>
        <w:pStyle w:val="ListParagraph"/>
        <w:numPr>
          <w:ilvl w:val="0"/>
          <w:numId w:val="14"/>
        </w:numPr>
        <w:spacing w:after="0" w:line="240" w:lineRule="auto"/>
        <w:rPr>
          <w:rFonts w:eastAsia="Times New Roman" w:cstheme="minorHAnsi"/>
          <w:lang w:eastAsia="en-US"/>
        </w:rPr>
      </w:pPr>
      <w:r w:rsidRPr="00834F0E">
        <w:rPr>
          <w:rFonts w:eastAsia="Times New Roman" w:cstheme="minorHAnsi"/>
          <w:lang w:eastAsia="en-US"/>
        </w:rPr>
        <w:t xml:space="preserve">DNO policy provides insurance for committee member to ensure they are not personally liable for claims arising from their management or decisions. </w:t>
      </w:r>
    </w:p>
    <w:p w14:paraId="4AD13C21" w14:textId="7234FF76" w:rsidR="00B03764" w:rsidRPr="00834F0E" w:rsidRDefault="00834F0E" w:rsidP="64594043">
      <w:pPr>
        <w:pStyle w:val="ListParagraph"/>
        <w:numPr>
          <w:ilvl w:val="0"/>
          <w:numId w:val="14"/>
        </w:numPr>
        <w:spacing w:after="0" w:line="240" w:lineRule="auto"/>
        <w:rPr>
          <w:rFonts w:eastAsia="Times New Roman"/>
          <w:lang w:eastAsia="en-US"/>
        </w:rPr>
      </w:pPr>
      <w:r w:rsidRPr="64594043">
        <w:rPr>
          <w:rFonts w:eastAsia="Times New Roman"/>
          <w:lang w:eastAsia="en-US"/>
        </w:rPr>
        <w:t xml:space="preserve">E.g. - a claim is brought against the organisation by a former employee for unfair dismissal. </w:t>
      </w:r>
      <w:r w:rsidR="00B03764" w:rsidRPr="64594043">
        <w:rPr>
          <w:rFonts w:eastAsia="Times New Roman"/>
          <w:lang w:eastAsia="en-US"/>
        </w:rPr>
        <w:t xml:space="preserve">  </w:t>
      </w:r>
    </w:p>
    <w:p w14:paraId="50944855" w14:textId="77777777" w:rsidR="00834F0E" w:rsidRDefault="00834F0E" w:rsidP="00834F0E">
      <w:pPr>
        <w:spacing w:after="0" w:line="240" w:lineRule="auto"/>
        <w:rPr>
          <w:rFonts w:eastAsia="Times New Roman" w:cstheme="minorHAnsi"/>
          <w:lang w:eastAsia="en-US"/>
        </w:rPr>
      </w:pPr>
    </w:p>
    <w:p w14:paraId="49113060" w14:textId="77777777" w:rsidR="00834F0E" w:rsidRPr="00B73AD1" w:rsidRDefault="00B03764" w:rsidP="00834F0E">
      <w:pPr>
        <w:spacing w:after="0" w:line="240" w:lineRule="auto"/>
        <w:rPr>
          <w:rFonts w:eastAsia="Times New Roman" w:cstheme="minorHAnsi"/>
          <w:b/>
          <w:bCs/>
          <w:u w:val="single"/>
          <w:lang w:eastAsia="en-US"/>
        </w:rPr>
      </w:pPr>
      <w:r w:rsidRPr="00B73AD1">
        <w:rPr>
          <w:rFonts w:eastAsia="Times New Roman" w:cstheme="minorHAnsi"/>
          <w:b/>
          <w:bCs/>
          <w:u w:val="single"/>
          <w:lang w:eastAsia="en-US"/>
        </w:rPr>
        <w:t xml:space="preserve">Public and Products Liability </w:t>
      </w:r>
    </w:p>
    <w:p w14:paraId="36B19445" w14:textId="22AD9211" w:rsidR="00834F0E" w:rsidRDefault="00834F0E" w:rsidP="64594043">
      <w:pPr>
        <w:pStyle w:val="ListParagraph"/>
        <w:numPr>
          <w:ilvl w:val="0"/>
          <w:numId w:val="15"/>
        </w:numPr>
        <w:spacing w:after="0" w:line="240" w:lineRule="auto"/>
        <w:rPr>
          <w:rFonts w:eastAsia="Times New Roman"/>
          <w:lang w:eastAsia="en-US"/>
        </w:rPr>
      </w:pPr>
      <w:r w:rsidRPr="64594043">
        <w:rPr>
          <w:rFonts w:eastAsia="Times New Roman"/>
          <w:lang w:eastAsia="en-US"/>
        </w:rPr>
        <w:t>C</w:t>
      </w:r>
      <w:r w:rsidR="00B03764" w:rsidRPr="64594043">
        <w:rPr>
          <w:rFonts w:eastAsia="Times New Roman"/>
          <w:lang w:eastAsia="en-US"/>
        </w:rPr>
        <w:t xml:space="preserve">over for your </w:t>
      </w:r>
      <w:r w:rsidR="00F3563E" w:rsidRPr="64594043">
        <w:rPr>
          <w:rFonts w:eastAsia="Times New Roman"/>
          <w:lang w:eastAsia="en-US"/>
        </w:rPr>
        <w:t>organisation</w:t>
      </w:r>
      <w:r w:rsidR="00B03764" w:rsidRPr="64594043">
        <w:rPr>
          <w:rFonts w:eastAsia="Times New Roman"/>
          <w:lang w:eastAsia="en-US"/>
        </w:rPr>
        <w:t xml:space="preserve">, employees and volunteers in relation to any liability to pay </w:t>
      </w:r>
      <w:r w:rsidR="00F3563E" w:rsidRPr="64594043">
        <w:rPr>
          <w:rFonts w:eastAsia="Times New Roman"/>
          <w:lang w:eastAsia="en-US"/>
        </w:rPr>
        <w:t>compensation</w:t>
      </w:r>
      <w:r w:rsidR="00B03764" w:rsidRPr="64594043">
        <w:rPr>
          <w:rFonts w:eastAsia="Times New Roman"/>
          <w:lang w:eastAsia="en-US"/>
        </w:rPr>
        <w:t xml:space="preserve"> where a third party becomes injured</w:t>
      </w:r>
      <w:r w:rsidR="00F3563E" w:rsidRPr="64594043">
        <w:rPr>
          <w:rFonts w:eastAsia="Times New Roman"/>
          <w:lang w:eastAsia="en-US"/>
        </w:rPr>
        <w:t xml:space="preserve"> or their property is damaged </w:t>
      </w:r>
      <w:proofErr w:type="gramStart"/>
      <w:r w:rsidR="00F3563E" w:rsidRPr="64594043">
        <w:rPr>
          <w:rFonts w:eastAsia="Times New Roman"/>
          <w:lang w:eastAsia="en-US"/>
        </w:rPr>
        <w:t>as a result of</w:t>
      </w:r>
      <w:proofErr w:type="gramEnd"/>
      <w:r w:rsidR="00F3563E" w:rsidRPr="64594043">
        <w:rPr>
          <w:rFonts w:eastAsia="Times New Roman"/>
          <w:lang w:eastAsia="en-US"/>
        </w:rPr>
        <w:t xml:space="preserve"> negligence. </w:t>
      </w:r>
    </w:p>
    <w:p w14:paraId="58485E2A" w14:textId="2E257F78" w:rsidR="00834F0E" w:rsidRDefault="00834F0E" w:rsidP="00834F0E">
      <w:pPr>
        <w:pStyle w:val="ListParagraph"/>
        <w:numPr>
          <w:ilvl w:val="0"/>
          <w:numId w:val="15"/>
        </w:numPr>
        <w:spacing w:after="0" w:line="240" w:lineRule="auto"/>
        <w:rPr>
          <w:rFonts w:eastAsia="Times New Roman" w:cstheme="minorHAnsi"/>
          <w:lang w:eastAsia="en-US"/>
        </w:rPr>
      </w:pPr>
      <w:r w:rsidRPr="00834F0E">
        <w:rPr>
          <w:rFonts w:eastAsia="Times New Roman" w:cstheme="minorHAnsi"/>
          <w:lang w:eastAsia="en-US"/>
        </w:rPr>
        <w:t>E.g.</w:t>
      </w:r>
      <w:r w:rsidR="00F3563E" w:rsidRPr="00834F0E">
        <w:rPr>
          <w:rFonts w:eastAsia="Times New Roman" w:cstheme="minorHAnsi"/>
          <w:lang w:eastAsia="en-US"/>
        </w:rPr>
        <w:t xml:space="preserve"> a staff member is cleaning up a spill on the floor at the entrance to the office</w:t>
      </w:r>
      <w:r w:rsidRPr="00834F0E">
        <w:rPr>
          <w:rFonts w:eastAsia="Times New Roman" w:cstheme="minorHAnsi"/>
          <w:lang w:eastAsia="en-US"/>
        </w:rPr>
        <w:t>, without any warning or hazard signs visible</w:t>
      </w:r>
      <w:r w:rsidR="00F3563E" w:rsidRPr="00834F0E">
        <w:rPr>
          <w:rFonts w:eastAsia="Times New Roman" w:cstheme="minorHAnsi"/>
          <w:lang w:eastAsia="en-US"/>
        </w:rPr>
        <w:t>. A client enters and slips on the wet floor</w:t>
      </w:r>
      <w:r w:rsidRPr="00834F0E">
        <w:rPr>
          <w:rFonts w:eastAsia="Times New Roman" w:cstheme="minorHAnsi"/>
          <w:lang w:eastAsia="en-US"/>
        </w:rPr>
        <w:t>,</w:t>
      </w:r>
      <w:r w:rsidR="00F3563E" w:rsidRPr="00834F0E">
        <w:rPr>
          <w:rFonts w:eastAsia="Times New Roman" w:cstheme="minorHAnsi"/>
          <w:lang w:eastAsia="en-US"/>
        </w:rPr>
        <w:t xml:space="preserve"> injuring themselves. </w:t>
      </w:r>
    </w:p>
    <w:p w14:paraId="3C80D768" w14:textId="77777777" w:rsidR="00834F0E" w:rsidRDefault="00834F0E" w:rsidP="00834F0E">
      <w:pPr>
        <w:spacing w:after="0" w:line="240" w:lineRule="auto"/>
        <w:rPr>
          <w:rFonts w:eastAsia="Times New Roman" w:cstheme="minorHAnsi"/>
          <w:lang w:eastAsia="en-US"/>
        </w:rPr>
      </w:pPr>
    </w:p>
    <w:p w14:paraId="121345E3" w14:textId="77777777" w:rsidR="00834F0E" w:rsidRPr="00B73AD1" w:rsidRDefault="00F3563E" w:rsidP="00834F0E">
      <w:pPr>
        <w:spacing w:after="0" w:line="240" w:lineRule="auto"/>
        <w:rPr>
          <w:rFonts w:eastAsia="Times New Roman" w:cstheme="minorHAnsi"/>
          <w:b/>
          <w:bCs/>
          <w:u w:val="single"/>
          <w:lang w:eastAsia="en-US"/>
        </w:rPr>
      </w:pPr>
      <w:r w:rsidRPr="00B73AD1">
        <w:rPr>
          <w:rFonts w:eastAsia="Times New Roman" w:cstheme="minorHAnsi"/>
          <w:b/>
          <w:bCs/>
          <w:u w:val="single"/>
          <w:lang w:eastAsia="en-US"/>
        </w:rPr>
        <w:t>Professional Indemnity</w:t>
      </w:r>
    </w:p>
    <w:p w14:paraId="4D60AE4E" w14:textId="150F6A8A" w:rsidR="00834F0E" w:rsidRDefault="00834F0E" w:rsidP="00834F0E">
      <w:pPr>
        <w:pStyle w:val="ListParagraph"/>
        <w:numPr>
          <w:ilvl w:val="0"/>
          <w:numId w:val="16"/>
        </w:numPr>
        <w:spacing w:after="0" w:line="240" w:lineRule="auto"/>
        <w:rPr>
          <w:rFonts w:eastAsia="Times New Roman" w:cstheme="minorHAnsi"/>
          <w:lang w:eastAsia="en-US"/>
        </w:rPr>
      </w:pPr>
      <w:r>
        <w:rPr>
          <w:rFonts w:eastAsia="Times New Roman" w:cstheme="minorHAnsi"/>
          <w:lang w:eastAsia="en-US"/>
        </w:rPr>
        <w:t>C</w:t>
      </w:r>
      <w:r w:rsidR="00F3563E" w:rsidRPr="00834F0E">
        <w:rPr>
          <w:rFonts w:eastAsia="Times New Roman" w:cstheme="minorHAnsi"/>
          <w:lang w:eastAsia="en-US"/>
        </w:rPr>
        <w:t>over for your organisation for an alleged breach of professional duty</w:t>
      </w:r>
      <w:r w:rsidR="00B73AD1">
        <w:rPr>
          <w:rFonts w:eastAsia="Times New Roman" w:cstheme="minorHAnsi"/>
          <w:lang w:eastAsia="en-US"/>
        </w:rPr>
        <w:t>.</w:t>
      </w:r>
    </w:p>
    <w:p w14:paraId="0AAA5218" w14:textId="77777777" w:rsidR="00834F0E" w:rsidRPr="00834F0E" w:rsidRDefault="00834F0E" w:rsidP="00834F0E">
      <w:pPr>
        <w:spacing w:after="0" w:line="240" w:lineRule="auto"/>
        <w:rPr>
          <w:rFonts w:eastAsia="Times New Roman" w:cstheme="minorHAnsi"/>
          <w:lang w:eastAsia="en-US"/>
        </w:rPr>
      </w:pPr>
    </w:p>
    <w:p w14:paraId="6FB72714" w14:textId="77777777" w:rsidR="00834F0E" w:rsidRPr="00B73AD1" w:rsidRDefault="00F3563E" w:rsidP="00834F0E">
      <w:pPr>
        <w:spacing w:after="0" w:line="240" w:lineRule="auto"/>
        <w:rPr>
          <w:rFonts w:eastAsia="Times New Roman" w:cstheme="minorHAnsi"/>
          <w:u w:val="single"/>
          <w:lang w:eastAsia="en-US"/>
        </w:rPr>
      </w:pPr>
      <w:r w:rsidRPr="00B73AD1">
        <w:rPr>
          <w:rFonts w:eastAsia="Times New Roman" w:cstheme="minorHAnsi"/>
          <w:b/>
          <w:bCs/>
          <w:u w:val="single"/>
          <w:lang w:eastAsia="en-US"/>
        </w:rPr>
        <w:t>Entity Fidelity</w:t>
      </w:r>
      <w:r w:rsidRPr="00B73AD1">
        <w:rPr>
          <w:rFonts w:eastAsia="Times New Roman" w:cstheme="minorHAnsi"/>
          <w:u w:val="single"/>
          <w:lang w:eastAsia="en-US"/>
        </w:rPr>
        <w:t xml:space="preserve"> </w:t>
      </w:r>
    </w:p>
    <w:p w14:paraId="2580BA4C" w14:textId="6A420044" w:rsidR="00834F0E" w:rsidRDefault="00834F0E" w:rsidP="00834F0E">
      <w:pPr>
        <w:pStyle w:val="ListParagraph"/>
        <w:numPr>
          <w:ilvl w:val="0"/>
          <w:numId w:val="16"/>
        </w:numPr>
        <w:spacing w:after="0" w:line="240" w:lineRule="auto"/>
        <w:rPr>
          <w:rFonts w:eastAsia="Times New Roman" w:cstheme="minorHAnsi"/>
          <w:lang w:eastAsia="en-US"/>
        </w:rPr>
      </w:pPr>
      <w:r>
        <w:rPr>
          <w:rFonts w:eastAsia="Times New Roman" w:cstheme="minorHAnsi"/>
          <w:lang w:eastAsia="en-US"/>
        </w:rPr>
        <w:t>C</w:t>
      </w:r>
      <w:r w:rsidR="00F3563E" w:rsidRPr="00834F0E">
        <w:rPr>
          <w:rFonts w:eastAsia="Times New Roman" w:cstheme="minorHAnsi"/>
          <w:lang w:eastAsia="en-US"/>
        </w:rPr>
        <w:t>over for the loss of money or other property arising from any dishonest or fraudulent act committed by an employee or volunteer of your organisation</w:t>
      </w:r>
      <w:r w:rsidRPr="00834F0E">
        <w:rPr>
          <w:rFonts w:eastAsia="Times New Roman" w:cstheme="minorHAnsi"/>
          <w:lang w:eastAsia="en-US"/>
        </w:rPr>
        <w:t xml:space="preserve">. </w:t>
      </w:r>
    </w:p>
    <w:p w14:paraId="5221D871" w14:textId="0B76F2BF" w:rsidR="00834F0E" w:rsidRDefault="00834F0E" w:rsidP="00834F0E">
      <w:pPr>
        <w:pStyle w:val="ListParagraph"/>
        <w:numPr>
          <w:ilvl w:val="0"/>
          <w:numId w:val="16"/>
        </w:numPr>
        <w:spacing w:after="0" w:line="240" w:lineRule="auto"/>
        <w:rPr>
          <w:rFonts w:eastAsia="Times New Roman" w:cstheme="minorHAnsi"/>
          <w:lang w:eastAsia="en-US"/>
        </w:rPr>
      </w:pPr>
      <w:r w:rsidRPr="00834F0E">
        <w:rPr>
          <w:rFonts w:eastAsia="Times New Roman" w:cstheme="minorHAnsi"/>
          <w:lang w:eastAsia="en-US"/>
        </w:rPr>
        <w:t xml:space="preserve">E.g. the Committee Treasurer fraudulently withdraws $1,000 </w:t>
      </w:r>
      <w:r>
        <w:rPr>
          <w:rFonts w:eastAsia="Times New Roman" w:cstheme="minorHAnsi"/>
          <w:lang w:eastAsia="en-US"/>
        </w:rPr>
        <w:t xml:space="preserve">from the </w:t>
      </w:r>
      <w:r w:rsidR="005B019A">
        <w:rPr>
          <w:rFonts w:eastAsia="Times New Roman" w:cstheme="minorHAnsi"/>
          <w:lang w:eastAsia="en-US"/>
        </w:rPr>
        <w:t>organisations</w:t>
      </w:r>
      <w:r>
        <w:rPr>
          <w:rFonts w:eastAsia="Times New Roman" w:cstheme="minorHAnsi"/>
          <w:lang w:eastAsia="en-US"/>
        </w:rPr>
        <w:t xml:space="preserve"> bank account</w:t>
      </w:r>
      <w:r w:rsidR="00B73AD1">
        <w:rPr>
          <w:rFonts w:eastAsia="Times New Roman" w:cstheme="minorHAnsi"/>
          <w:lang w:eastAsia="en-US"/>
        </w:rPr>
        <w:t>.</w:t>
      </w:r>
    </w:p>
    <w:p w14:paraId="71D6D80E" w14:textId="2D09201E" w:rsidR="00B03764" w:rsidRDefault="00834F0E" w:rsidP="00834F0E">
      <w:pPr>
        <w:pStyle w:val="ListParagraph"/>
        <w:spacing w:after="0" w:line="240" w:lineRule="auto"/>
        <w:ind w:left="765"/>
        <w:rPr>
          <w:rFonts w:eastAsia="Times New Roman" w:cstheme="minorHAnsi"/>
          <w:lang w:eastAsia="en-US"/>
        </w:rPr>
      </w:pPr>
      <w:r>
        <w:rPr>
          <w:rFonts w:eastAsia="Times New Roman" w:cstheme="minorHAnsi"/>
          <w:lang w:eastAsia="en-US"/>
        </w:rPr>
        <w:t xml:space="preserve"> </w:t>
      </w:r>
    </w:p>
    <w:p w14:paraId="21B5FAB6" w14:textId="77777777" w:rsidR="00834F0E" w:rsidRPr="00B73AD1" w:rsidRDefault="00834F0E" w:rsidP="00834F0E">
      <w:pPr>
        <w:spacing w:after="0" w:line="240" w:lineRule="auto"/>
        <w:rPr>
          <w:rFonts w:eastAsia="Times New Roman" w:cstheme="minorHAnsi"/>
          <w:u w:val="single"/>
          <w:lang w:eastAsia="en-US"/>
        </w:rPr>
      </w:pPr>
      <w:r w:rsidRPr="00B73AD1">
        <w:rPr>
          <w:rFonts w:eastAsia="Times New Roman" w:cstheme="minorHAnsi"/>
          <w:b/>
          <w:bCs/>
          <w:u w:val="single"/>
          <w:lang w:eastAsia="en-US"/>
        </w:rPr>
        <w:t xml:space="preserve">Personal </w:t>
      </w:r>
      <w:r w:rsidR="00F3563E" w:rsidRPr="00B73AD1">
        <w:rPr>
          <w:rFonts w:eastAsia="Times New Roman" w:cstheme="minorHAnsi"/>
          <w:b/>
          <w:bCs/>
          <w:u w:val="single"/>
          <w:lang w:eastAsia="en-US"/>
        </w:rPr>
        <w:t>Accident</w:t>
      </w:r>
      <w:r w:rsidR="00F3563E" w:rsidRPr="00B73AD1">
        <w:rPr>
          <w:rFonts w:eastAsia="Times New Roman" w:cstheme="minorHAnsi"/>
          <w:u w:val="single"/>
          <w:lang w:eastAsia="en-US"/>
        </w:rPr>
        <w:t xml:space="preserve"> </w:t>
      </w:r>
    </w:p>
    <w:p w14:paraId="3C6A078F" w14:textId="6B744086" w:rsidR="00F3563E" w:rsidRPr="00834F0E" w:rsidRDefault="00F3563E" w:rsidP="00834F0E">
      <w:pPr>
        <w:pStyle w:val="ListParagraph"/>
        <w:numPr>
          <w:ilvl w:val="0"/>
          <w:numId w:val="18"/>
        </w:numPr>
        <w:spacing w:after="0" w:line="240" w:lineRule="auto"/>
        <w:rPr>
          <w:rFonts w:eastAsia="Times New Roman" w:cstheme="minorHAnsi"/>
          <w:lang w:eastAsia="en-US"/>
        </w:rPr>
      </w:pPr>
      <w:r w:rsidRPr="00834F0E">
        <w:rPr>
          <w:rFonts w:eastAsia="Times New Roman" w:cstheme="minorHAnsi"/>
          <w:lang w:eastAsia="en-US"/>
        </w:rPr>
        <w:t>Cover for volunteers and board/ committee members and other eligible people, while performing their duty, for accidental bodily injury, that results in loss of life, permanent or temporary disablement</w:t>
      </w:r>
      <w:r w:rsidR="00834F0E" w:rsidRPr="00834F0E">
        <w:rPr>
          <w:rFonts w:eastAsia="Times New Roman" w:cstheme="minorHAnsi"/>
          <w:lang w:eastAsia="en-US"/>
        </w:rPr>
        <w:t xml:space="preserve">. </w:t>
      </w:r>
    </w:p>
    <w:p w14:paraId="70872001" w14:textId="6E64B58A" w:rsidR="00834F0E" w:rsidRDefault="00834F0E" w:rsidP="00834F0E">
      <w:pPr>
        <w:pStyle w:val="ListParagraph"/>
        <w:numPr>
          <w:ilvl w:val="0"/>
          <w:numId w:val="17"/>
        </w:numPr>
        <w:spacing w:after="0" w:line="240" w:lineRule="auto"/>
        <w:rPr>
          <w:rFonts w:eastAsia="Times New Roman" w:cstheme="minorHAnsi"/>
          <w:lang w:eastAsia="en-US"/>
        </w:rPr>
      </w:pPr>
      <w:r w:rsidRPr="00834F0E">
        <w:rPr>
          <w:rFonts w:eastAsia="Times New Roman" w:cstheme="minorHAnsi"/>
          <w:lang w:eastAsia="en-US"/>
        </w:rPr>
        <w:t xml:space="preserve">Employees sit under </w:t>
      </w:r>
      <w:r w:rsidR="005B019A" w:rsidRPr="00834F0E">
        <w:rPr>
          <w:rFonts w:eastAsia="Times New Roman" w:cstheme="minorHAnsi"/>
          <w:lang w:eastAsia="en-US"/>
        </w:rPr>
        <w:t>Workcover</w:t>
      </w:r>
      <w:r w:rsidRPr="00834F0E">
        <w:rPr>
          <w:rFonts w:eastAsia="Times New Roman" w:cstheme="minorHAnsi"/>
          <w:lang w:eastAsia="en-US"/>
        </w:rPr>
        <w:t xml:space="preserve"> insurance and are not included under this policy</w:t>
      </w:r>
      <w:r w:rsidR="00B73AD1">
        <w:rPr>
          <w:rFonts w:eastAsia="Times New Roman" w:cstheme="minorHAnsi"/>
          <w:lang w:eastAsia="en-US"/>
        </w:rPr>
        <w:t>.</w:t>
      </w:r>
    </w:p>
    <w:p w14:paraId="58F7BB06" w14:textId="2895515E" w:rsidR="005B019A" w:rsidRPr="00834F0E" w:rsidRDefault="005B019A" w:rsidP="64594043">
      <w:pPr>
        <w:pStyle w:val="ListParagraph"/>
        <w:numPr>
          <w:ilvl w:val="0"/>
          <w:numId w:val="17"/>
        </w:numPr>
        <w:spacing w:after="0" w:line="240" w:lineRule="auto"/>
        <w:rPr>
          <w:rFonts w:eastAsia="Times New Roman"/>
          <w:lang w:eastAsia="en-US"/>
        </w:rPr>
      </w:pPr>
      <w:r w:rsidRPr="64594043">
        <w:rPr>
          <w:rFonts w:eastAsia="Times New Roman"/>
          <w:lang w:eastAsia="en-US"/>
        </w:rPr>
        <w:t>Does not include aggravation of previous conditions</w:t>
      </w:r>
      <w:r w:rsidR="00B73AD1" w:rsidRPr="64594043">
        <w:rPr>
          <w:rFonts w:eastAsia="Times New Roman"/>
          <w:lang w:eastAsia="en-US"/>
        </w:rPr>
        <w:t>.</w:t>
      </w:r>
    </w:p>
    <w:p w14:paraId="049B1B66" w14:textId="77777777" w:rsidR="00834F0E" w:rsidRPr="00834F0E" w:rsidRDefault="00834F0E" w:rsidP="00834F0E">
      <w:pPr>
        <w:spacing w:after="0" w:line="240" w:lineRule="auto"/>
        <w:rPr>
          <w:rFonts w:eastAsia="Times New Roman" w:cstheme="minorHAnsi"/>
          <w:lang w:eastAsia="en-US"/>
        </w:rPr>
      </w:pPr>
    </w:p>
    <w:p w14:paraId="5232AF7E" w14:textId="21B14136" w:rsidR="00B03764" w:rsidRDefault="00F3563E" w:rsidP="00D22AA3">
      <w:pPr>
        <w:spacing w:after="0" w:line="240" w:lineRule="auto"/>
        <w:rPr>
          <w:rFonts w:eastAsia="Times New Roman" w:cstheme="minorHAnsi"/>
          <w:lang w:eastAsia="en-US"/>
        </w:rPr>
      </w:pPr>
      <w:r>
        <w:rPr>
          <w:rFonts w:eastAsia="Times New Roman" w:cstheme="minorHAnsi"/>
          <w:lang w:eastAsia="en-US"/>
        </w:rPr>
        <w:t>[NOTE- the CSO insurance suite also provides policies for medical indemnity and volunteer care givers. Refer to the guide for more information on these</w:t>
      </w:r>
      <w:r w:rsidR="00D27B6E">
        <w:rPr>
          <w:rFonts w:eastAsia="Times New Roman" w:cstheme="minorHAnsi"/>
          <w:lang w:eastAsia="en-US"/>
        </w:rPr>
        <w:t xml:space="preserve"> if relevant.</w:t>
      </w:r>
      <w:r>
        <w:rPr>
          <w:rFonts w:eastAsia="Times New Roman" w:cstheme="minorHAnsi"/>
          <w:lang w:eastAsia="en-US"/>
        </w:rPr>
        <w:t>]</w:t>
      </w:r>
    </w:p>
    <w:p w14:paraId="352EA362" w14:textId="77777777" w:rsidR="00B03764" w:rsidRDefault="00B03764" w:rsidP="00D22AA3">
      <w:pPr>
        <w:spacing w:after="0" w:line="240" w:lineRule="auto"/>
        <w:rPr>
          <w:rFonts w:eastAsia="Times New Roman" w:cstheme="minorHAnsi"/>
          <w:lang w:eastAsia="en-US"/>
        </w:rPr>
      </w:pPr>
    </w:p>
    <w:p w14:paraId="6C8D25EB" w14:textId="23E4A0F1" w:rsidR="005B019A" w:rsidRDefault="005B019A" w:rsidP="00D22AA3">
      <w:pPr>
        <w:spacing w:after="0" w:line="240" w:lineRule="auto"/>
        <w:rPr>
          <w:rFonts w:eastAsia="Times New Roman" w:cstheme="minorHAnsi"/>
          <w:lang w:eastAsia="en-US"/>
        </w:rPr>
      </w:pPr>
      <w:r>
        <w:rPr>
          <w:rFonts w:eastAsia="Times New Roman" w:cstheme="minorHAnsi"/>
          <w:lang w:eastAsia="en-US"/>
        </w:rPr>
        <w:lastRenderedPageBreak/>
        <w:t xml:space="preserve">Claims will be assessed by the VMIA on a case-by-case basis. </w:t>
      </w:r>
      <w:r w:rsidR="00D27B6E">
        <w:rPr>
          <w:rFonts w:eastAsia="Times New Roman" w:cstheme="minorHAnsi"/>
          <w:lang w:eastAsia="en-US"/>
        </w:rPr>
        <w:t xml:space="preserve">It is important to understand: </w:t>
      </w:r>
      <w:r>
        <w:rPr>
          <w:rFonts w:eastAsia="Times New Roman" w:cstheme="minorHAnsi"/>
          <w:lang w:eastAsia="en-US"/>
        </w:rPr>
        <w:t xml:space="preserve"> </w:t>
      </w:r>
    </w:p>
    <w:p w14:paraId="5A47B71A" w14:textId="77777777" w:rsidR="00D27B6E" w:rsidRDefault="00D27B6E" w:rsidP="00D22AA3">
      <w:pPr>
        <w:spacing w:after="0" w:line="240" w:lineRule="auto"/>
        <w:rPr>
          <w:rFonts w:eastAsia="Times New Roman" w:cstheme="minorHAnsi"/>
          <w:lang w:eastAsia="en-US"/>
        </w:rPr>
      </w:pPr>
    </w:p>
    <w:p w14:paraId="2BFAE596" w14:textId="14FF051C" w:rsidR="00BA0A61" w:rsidRPr="005B019A" w:rsidRDefault="00BA0A61" w:rsidP="64594043">
      <w:pPr>
        <w:pStyle w:val="ListParagraph"/>
        <w:numPr>
          <w:ilvl w:val="0"/>
          <w:numId w:val="19"/>
        </w:numPr>
        <w:spacing w:after="0" w:line="240" w:lineRule="auto"/>
        <w:rPr>
          <w:rFonts w:eastAsia="Times New Roman"/>
          <w:lang w:eastAsia="en-US"/>
        </w:rPr>
      </w:pPr>
      <w:r w:rsidRPr="64594043">
        <w:rPr>
          <w:rFonts w:eastAsia="Times New Roman"/>
          <w:lang w:eastAsia="en-US"/>
        </w:rPr>
        <w:t xml:space="preserve">People who participate in your events are not covered by insurance. </w:t>
      </w:r>
    </w:p>
    <w:p w14:paraId="7782E100" w14:textId="1058A0B4" w:rsidR="00B73AD1" w:rsidRDefault="00BA0A61" w:rsidP="64594043">
      <w:pPr>
        <w:pStyle w:val="ListParagraph"/>
        <w:numPr>
          <w:ilvl w:val="0"/>
          <w:numId w:val="19"/>
        </w:numPr>
        <w:spacing w:after="0" w:line="240" w:lineRule="auto"/>
        <w:rPr>
          <w:rFonts w:eastAsia="Times New Roman"/>
          <w:lang w:eastAsia="en-US"/>
        </w:rPr>
      </w:pPr>
      <w:r w:rsidRPr="64594043">
        <w:rPr>
          <w:rFonts w:eastAsia="Times New Roman"/>
          <w:lang w:eastAsia="en-US"/>
        </w:rPr>
        <w:t xml:space="preserve">VMIA cover is in place to protect your organisation </w:t>
      </w:r>
      <w:proofErr w:type="gramStart"/>
      <w:r w:rsidRPr="64594043">
        <w:rPr>
          <w:rFonts w:eastAsia="Times New Roman"/>
          <w:lang w:eastAsia="en-US"/>
        </w:rPr>
        <w:t>in the event that</w:t>
      </w:r>
      <w:proofErr w:type="gramEnd"/>
      <w:r w:rsidRPr="64594043">
        <w:rPr>
          <w:rFonts w:eastAsia="Times New Roman"/>
          <w:lang w:eastAsia="en-US"/>
        </w:rPr>
        <w:t xml:space="preserve"> you are legally obligated to pay money to a third party. As such, it is important to note that liability cover does not directly insure the third parties themselves. Instead, it insures the organisation in the event of an incident. </w:t>
      </w:r>
    </w:p>
    <w:p w14:paraId="2AFF29D8" w14:textId="349F4812" w:rsidR="00BA0A61" w:rsidRDefault="00B73AD1" w:rsidP="64594043">
      <w:pPr>
        <w:pStyle w:val="ListParagraph"/>
        <w:numPr>
          <w:ilvl w:val="0"/>
          <w:numId w:val="19"/>
        </w:numPr>
        <w:spacing w:after="0" w:line="240" w:lineRule="auto"/>
        <w:rPr>
          <w:rFonts w:eastAsia="Times New Roman"/>
          <w:lang w:eastAsia="en-US"/>
        </w:rPr>
      </w:pPr>
      <w:r w:rsidRPr="64594043">
        <w:rPr>
          <w:rFonts w:eastAsia="Times New Roman"/>
          <w:lang w:eastAsia="en-US"/>
        </w:rPr>
        <w:t xml:space="preserve">Insurance is provided for </w:t>
      </w:r>
      <w:r w:rsidR="00BA0A61" w:rsidRPr="64594043">
        <w:rPr>
          <w:rFonts w:eastAsia="Times New Roman"/>
          <w:lang w:eastAsia="en-US"/>
        </w:rPr>
        <w:t xml:space="preserve">your </w:t>
      </w:r>
      <w:proofErr w:type="gramStart"/>
      <w:r w:rsidR="00BA0A61" w:rsidRPr="64594043">
        <w:rPr>
          <w:rFonts w:eastAsia="Times New Roman"/>
          <w:lang w:eastAsia="en-US"/>
        </w:rPr>
        <w:t>organisation,</w:t>
      </w:r>
      <w:proofErr w:type="gramEnd"/>
      <w:r w:rsidR="00BA0A61" w:rsidRPr="64594043">
        <w:rPr>
          <w:rFonts w:eastAsia="Times New Roman"/>
          <w:lang w:eastAsia="en-US"/>
        </w:rPr>
        <w:t xml:space="preserve"> its employees and volunteers are covered for legal liability arising out of negligence to a </w:t>
      </w:r>
      <w:proofErr w:type="gramStart"/>
      <w:r w:rsidR="00BA0A61" w:rsidRPr="64594043">
        <w:rPr>
          <w:rFonts w:eastAsia="Times New Roman"/>
          <w:lang w:eastAsia="en-US"/>
        </w:rPr>
        <w:t>third party</w:t>
      </w:r>
      <w:proofErr w:type="gramEnd"/>
      <w:r w:rsidR="00BA0A61" w:rsidRPr="64594043">
        <w:rPr>
          <w:rFonts w:eastAsia="Times New Roman"/>
          <w:lang w:eastAsia="en-US"/>
        </w:rPr>
        <w:t xml:space="preserve"> including participants. </w:t>
      </w:r>
    </w:p>
    <w:p w14:paraId="1878DC9B" w14:textId="58807A92" w:rsidR="00B73AD1" w:rsidRDefault="00B73AD1" w:rsidP="64594043">
      <w:pPr>
        <w:pStyle w:val="ListParagraph"/>
        <w:numPr>
          <w:ilvl w:val="0"/>
          <w:numId w:val="19"/>
        </w:numPr>
        <w:spacing w:after="0" w:line="240" w:lineRule="auto"/>
        <w:rPr>
          <w:rFonts w:eastAsia="Times New Roman"/>
          <w:lang w:eastAsia="en-US"/>
        </w:rPr>
      </w:pPr>
      <w:r w:rsidRPr="64594043">
        <w:rPr>
          <w:rFonts w:eastAsia="Times New Roman"/>
          <w:lang w:eastAsia="en-US"/>
        </w:rPr>
        <w:t xml:space="preserve">Prevention or mitigation of incident via Risk Management Planning is </w:t>
      </w:r>
      <w:proofErr w:type="gramStart"/>
      <w:r w:rsidRPr="64594043">
        <w:rPr>
          <w:rFonts w:eastAsia="Times New Roman"/>
          <w:lang w:eastAsia="en-US"/>
        </w:rPr>
        <w:t>preferable, and</w:t>
      </w:r>
      <w:proofErr w:type="gramEnd"/>
      <w:r w:rsidRPr="64594043">
        <w:rPr>
          <w:rFonts w:eastAsia="Times New Roman"/>
          <w:lang w:eastAsia="en-US"/>
        </w:rPr>
        <w:t xml:space="preserve"> encouraged for the best outcomes for the NH and our community.</w:t>
      </w:r>
    </w:p>
    <w:p w14:paraId="7B70E45F" w14:textId="5BF15295" w:rsidR="00B73AD1" w:rsidRDefault="00B73AD1" w:rsidP="00B73AD1">
      <w:pPr>
        <w:pStyle w:val="ListParagraph"/>
        <w:numPr>
          <w:ilvl w:val="0"/>
          <w:numId w:val="19"/>
        </w:numPr>
        <w:spacing w:after="0" w:line="240" w:lineRule="auto"/>
        <w:rPr>
          <w:rFonts w:eastAsia="Times New Roman" w:cstheme="minorHAnsi"/>
          <w:lang w:eastAsia="en-US"/>
        </w:rPr>
      </w:pPr>
      <w:r>
        <w:rPr>
          <w:rFonts w:eastAsia="Times New Roman" w:cstheme="minorHAnsi"/>
          <w:lang w:eastAsia="en-US"/>
        </w:rPr>
        <w:t xml:space="preserve">Risk Management is not a requirement of VMIA insurance, although annual review is included in reporting to DFFH as part of the Service Agreement Compliance Certificate. </w:t>
      </w:r>
    </w:p>
    <w:p w14:paraId="7EDAAB94" w14:textId="15AA0908" w:rsidR="00B73AD1" w:rsidRDefault="00B73AD1" w:rsidP="00B73AD1">
      <w:pPr>
        <w:pStyle w:val="ListParagraph"/>
        <w:numPr>
          <w:ilvl w:val="0"/>
          <w:numId w:val="19"/>
        </w:numPr>
        <w:spacing w:after="0" w:line="240" w:lineRule="auto"/>
        <w:rPr>
          <w:rFonts w:eastAsia="Times New Roman" w:cstheme="minorHAnsi"/>
          <w:lang w:eastAsia="en-US"/>
        </w:rPr>
      </w:pPr>
      <w:r>
        <w:rPr>
          <w:rFonts w:eastAsia="Times New Roman" w:cstheme="minorHAnsi"/>
          <w:lang w:eastAsia="en-US"/>
        </w:rPr>
        <w:t>‘Volunteers’ includes people who are regularly involved in volunteer activities with the organisation, not people who happen to help with a task on the day</w:t>
      </w:r>
      <w:r w:rsidR="00C211E8">
        <w:rPr>
          <w:rFonts w:eastAsia="Times New Roman" w:cstheme="minorHAnsi"/>
          <w:lang w:eastAsia="en-US"/>
        </w:rPr>
        <w:t>.</w:t>
      </w:r>
      <w:r>
        <w:rPr>
          <w:rFonts w:eastAsia="Times New Roman" w:cstheme="minorHAnsi"/>
          <w:lang w:eastAsia="en-US"/>
        </w:rPr>
        <w:t xml:space="preserve"> </w:t>
      </w:r>
    </w:p>
    <w:p w14:paraId="1BD58CC7" w14:textId="77777777" w:rsidR="00BA0A61" w:rsidRDefault="00BA0A61" w:rsidP="00D22AA3">
      <w:pPr>
        <w:pStyle w:val="ListParagraph"/>
        <w:numPr>
          <w:ilvl w:val="0"/>
          <w:numId w:val="19"/>
        </w:numPr>
        <w:spacing w:after="0" w:line="240" w:lineRule="auto"/>
        <w:rPr>
          <w:rFonts w:eastAsia="Times New Roman" w:cstheme="minorHAnsi"/>
          <w:lang w:eastAsia="en-US"/>
        </w:rPr>
      </w:pPr>
      <w:r w:rsidRPr="00BA0A61">
        <w:rPr>
          <w:rFonts w:eastAsia="Times New Roman" w:cstheme="minorHAnsi"/>
          <w:lang w:eastAsia="en-US"/>
        </w:rPr>
        <w:t xml:space="preserve">You are covered for negligence at any premises in Victoria, and any temporary premises or venue you may lease or hire. </w:t>
      </w:r>
    </w:p>
    <w:p w14:paraId="37898D7D" w14:textId="77777777" w:rsidR="00BA0A61" w:rsidRDefault="00BA0A61" w:rsidP="64594043">
      <w:pPr>
        <w:pStyle w:val="ListParagraph"/>
        <w:numPr>
          <w:ilvl w:val="0"/>
          <w:numId w:val="19"/>
        </w:numPr>
        <w:spacing w:after="0" w:line="240" w:lineRule="auto"/>
        <w:rPr>
          <w:rFonts w:eastAsia="Times New Roman"/>
          <w:lang w:eastAsia="en-US"/>
        </w:rPr>
      </w:pPr>
      <w:r w:rsidRPr="64594043">
        <w:rPr>
          <w:rFonts w:eastAsia="Times New Roman"/>
          <w:lang w:eastAsia="en-US"/>
        </w:rPr>
        <w:t xml:space="preserve">When working in partnership, the responsible party for delivery of a task ‘who own’s the job’ must hold appropriate insurance. It is good practice to sight evidence of their insurance. </w:t>
      </w:r>
    </w:p>
    <w:p w14:paraId="446DA53D" w14:textId="77777777" w:rsidR="007B08A7" w:rsidRDefault="007B08A7" w:rsidP="007B08A7">
      <w:pPr>
        <w:spacing w:after="0" w:line="240" w:lineRule="auto"/>
        <w:rPr>
          <w:rFonts w:eastAsia="Times New Roman" w:cstheme="minorHAnsi"/>
          <w:lang w:eastAsia="en-US"/>
        </w:rPr>
      </w:pPr>
    </w:p>
    <w:p w14:paraId="7F43BA4D" w14:textId="66B41BE6" w:rsidR="00A43642" w:rsidRPr="00A43642" w:rsidRDefault="00A43642" w:rsidP="00A43642">
      <w:pPr>
        <w:spacing w:after="0" w:line="240" w:lineRule="auto"/>
        <w:ind w:left="405"/>
        <w:rPr>
          <w:rFonts w:eastAsia="Times New Roman" w:cstheme="minorHAnsi"/>
          <w:lang w:eastAsia="en-US"/>
        </w:rPr>
      </w:pPr>
    </w:p>
    <w:sectPr w:rsidR="00A43642" w:rsidRPr="00A43642" w:rsidSect="005B019A">
      <w:headerReference w:type="default" r:id="rId11"/>
      <w:footerReference w:type="default" r:id="rId12"/>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E60EB" w14:textId="77777777" w:rsidR="00E347D5" w:rsidRDefault="00E347D5" w:rsidP="00742895">
      <w:pPr>
        <w:spacing w:after="0" w:line="240" w:lineRule="auto"/>
      </w:pPr>
      <w:r>
        <w:separator/>
      </w:r>
    </w:p>
  </w:endnote>
  <w:endnote w:type="continuationSeparator" w:id="0">
    <w:p w14:paraId="09B2D157" w14:textId="77777777" w:rsidR="00E347D5" w:rsidRDefault="00E347D5" w:rsidP="00742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0748C" w14:textId="77777777" w:rsidR="00D27B6E" w:rsidRPr="0063718D" w:rsidRDefault="64594043" w:rsidP="64594043">
    <w:pPr>
      <w:pStyle w:val="Footer"/>
      <w:jc w:val="center"/>
      <w:rPr>
        <w:i/>
        <w:iCs/>
        <w:sz w:val="16"/>
        <w:szCs w:val="16"/>
      </w:rPr>
    </w:pPr>
    <w:bookmarkStart w:id="2" w:name="_Hlk187919912"/>
    <w:r w:rsidRPr="64594043">
      <w:rPr>
        <w:i/>
        <w:iCs/>
        <w:sz w:val="16"/>
        <w:szCs w:val="16"/>
      </w:rPr>
      <w:t>This document created with assistance from the Central Highlands Association of Neighbourhood Houses chanh.org.au</w:t>
    </w:r>
  </w:p>
  <w:bookmarkEnd w:id="2"/>
  <w:p w14:paraId="1E83E3CC" w14:textId="39BF5FAB" w:rsidR="00D27B6E" w:rsidRPr="00604828" w:rsidRDefault="00D27B6E" w:rsidP="00D27B6E">
    <w:pPr>
      <w:pStyle w:val="Footer"/>
      <w:jc w:val="center"/>
      <w:rPr>
        <w:rFonts w:ascii="Calibri" w:hAnsi="Calibri" w:cs="Calibri"/>
        <w:i/>
        <w:iCs/>
        <w:sz w:val="16"/>
        <w:szCs w:val="16"/>
      </w:rPr>
    </w:pPr>
    <w:r w:rsidRPr="00604828">
      <w:rPr>
        <w:rFonts w:ascii="Calibri" w:hAnsi="Calibri" w:cs="Calibri"/>
        <w:i/>
        <w:iCs/>
        <w:sz w:val="16"/>
        <w:szCs w:val="16"/>
      </w:rPr>
      <w:t xml:space="preserve">With thanks to </w:t>
    </w:r>
    <w:r>
      <w:rPr>
        <w:rFonts w:ascii="Calibri" w:hAnsi="Calibri" w:cs="Calibri"/>
        <w:i/>
        <w:iCs/>
        <w:sz w:val="16"/>
        <w:szCs w:val="16"/>
      </w:rPr>
      <w:t xml:space="preserve">the </w:t>
    </w:r>
    <w:r w:rsidRPr="00604828">
      <w:rPr>
        <w:rFonts w:ascii="Calibri" w:hAnsi="Calibri" w:cs="Calibri"/>
        <w:i/>
        <w:iCs/>
        <w:sz w:val="16"/>
        <w:szCs w:val="16"/>
      </w:rPr>
      <w:t>VMIA</w:t>
    </w:r>
  </w:p>
  <w:p w14:paraId="1B59EB4B" w14:textId="77777777" w:rsidR="00742895" w:rsidRDefault="00742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EAFD0" w14:textId="77777777" w:rsidR="00E347D5" w:rsidRDefault="00E347D5" w:rsidP="00742895">
      <w:pPr>
        <w:spacing w:after="0" w:line="240" w:lineRule="auto"/>
      </w:pPr>
      <w:r>
        <w:separator/>
      </w:r>
    </w:p>
  </w:footnote>
  <w:footnote w:type="continuationSeparator" w:id="0">
    <w:p w14:paraId="0A07E3B7" w14:textId="77777777" w:rsidR="00E347D5" w:rsidRDefault="00E347D5" w:rsidP="007428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4594043" w14:paraId="57661EB4" w14:textId="77777777" w:rsidTr="64594043">
      <w:trPr>
        <w:trHeight w:val="300"/>
      </w:trPr>
      <w:tc>
        <w:tcPr>
          <w:tcW w:w="3005" w:type="dxa"/>
        </w:tcPr>
        <w:p w14:paraId="0B196C92" w14:textId="33AF4DE0" w:rsidR="64594043" w:rsidRDefault="64594043" w:rsidP="64594043">
          <w:pPr>
            <w:pStyle w:val="Header"/>
            <w:ind w:left="-115"/>
          </w:pPr>
        </w:p>
      </w:tc>
      <w:tc>
        <w:tcPr>
          <w:tcW w:w="3005" w:type="dxa"/>
        </w:tcPr>
        <w:p w14:paraId="32F4C7D5" w14:textId="4BC62B24" w:rsidR="64594043" w:rsidRDefault="64594043" w:rsidP="64594043">
          <w:pPr>
            <w:pStyle w:val="Header"/>
            <w:jc w:val="center"/>
          </w:pPr>
        </w:p>
      </w:tc>
      <w:tc>
        <w:tcPr>
          <w:tcW w:w="3005" w:type="dxa"/>
        </w:tcPr>
        <w:p w14:paraId="53EA374F" w14:textId="252AA393" w:rsidR="64594043" w:rsidRDefault="64594043" w:rsidP="64594043">
          <w:pPr>
            <w:pStyle w:val="Header"/>
            <w:ind w:right="-115"/>
            <w:jc w:val="right"/>
          </w:pPr>
        </w:p>
      </w:tc>
    </w:tr>
  </w:tbl>
  <w:p w14:paraId="1369BFCE" w14:textId="57BEC128" w:rsidR="64594043" w:rsidRDefault="64594043" w:rsidP="645940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0F9C"/>
    <w:multiLevelType w:val="hybridMultilevel"/>
    <w:tmpl w:val="F05A3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3157E3"/>
    <w:multiLevelType w:val="hybridMultilevel"/>
    <w:tmpl w:val="EC9470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89378A"/>
    <w:multiLevelType w:val="hybridMultilevel"/>
    <w:tmpl w:val="B66AAD9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 w15:restartNumberingAfterBreak="0">
    <w:nsid w:val="12EA3C33"/>
    <w:multiLevelType w:val="hybridMultilevel"/>
    <w:tmpl w:val="7E0CFAF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 w15:restartNumberingAfterBreak="0">
    <w:nsid w:val="27396959"/>
    <w:multiLevelType w:val="hybridMultilevel"/>
    <w:tmpl w:val="A8F43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8B0F8D"/>
    <w:multiLevelType w:val="hybridMultilevel"/>
    <w:tmpl w:val="2F809E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9495483"/>
    <w:multiLevelType w:val="hybridMultilevel"/>
    <w:tmpl w:val="B71C4C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9D02AFD"/>
    <w:multiLevelType w:val="hybridMultilevel"/>
    <w:tmpl w:val="B3F8C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B437F8"/>
    <w:multiLevelType w:val="hybridMultilevel"/>
    <w:tmpl w:val="11788274"/>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F5C63C5"/>
    <w:multiLevelType w:val="hybridMultilevel"/>
    <w:tmpl w:val="B1C0B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67D78CC"/>
    <w:multiLevelType w:val="hybridMultilevel"/>
    <w:tmpl w:val="F0E64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9733C9"/>
    <w:multiLevelType w:val="hybridMultilevel"/>
    <w:tmpl w:val="D97E6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9960D80"/>
    <w:multiLevelType w:val="hybridMultilevel"/>
    <w:tmpl w:val="22EAB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7D4BB0"/>
    <w:multiLevelType w:val="hybridMultilevel"/>
    <w:tmpl w:val="C1B4A4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E4C46BE"/>
    <w:multiLevelType w:val="hybridMultilevel"/>
    <w:tmpl w:val="93F6C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2150306"/>
    <w:multiLevelType w:val="hybridMultilevel"/>
    <w:tmpl w:val="33B87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8A25BA"/>
    <w:multiLevelType w:val="hybridMultilevel"/>
    <w:tmpl w:val="F91E8FC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7" w15:restartNumberingAfterBreak="0">
    <w:nsid w:val="73F30FD1"/>
    <w:multiLevelType w:val="multilevel"/>
    <w:tmpl w:val="577C881E"/>
    <w:styleLink w:val="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759C25CF"/>
    <w:multiLevelType w:val="hybridMultilevel"/>
    <w:tmpl w:val="EDE0629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9" w15:restartNumberingAfterBreak="0">
    <w:nsid w:val="7C7C059C"/>
    <w:multiLevelType w:val="hybridMultilevel"/>
    <w:tmpl w:val="5FD87B80"/>
    <w:lvl w:ilvl="0" w:tplc="29726962">
      <w:start w:val="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98723024">
    <w:abstractNumId w:val="17"/>
  </w:num>
  <w:num w:numId="2" w16cid:durableId="6104806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0400717">
    <w:abstractNumId w:val="6"/>
  </w:num>
  <w:num w:numId="4" w16cid:durableId="494928192">
    <w:abstractNumId w:val="16"/>
  </w:num>
  <w:num w:numId="5" w16cid:durableId="309331582">
    <w:abstractNumId w:val="12"/>
  </w:num>
  <w:num w:numId="6" w16cid:durableId="786195267">
    <w:abstractNumId w:val="5"/>
  </w:num>
  <w:num w:numId="7" w16cid:durableId="1158695378">
    <w:abstractNumId w:val="19"/>
  </w:num>
  <w:num w:numId="8" w16cid:durableId="1757826365">
    <w:abstractNumId w:val="14"/>
  </w:num>
  <w:num w:numId="9" w16cid:durableId="363362279">
    <w:abstractNumId w:val="10"/>
  </w:num>
  <w:num w:numId="10" w16cid:durableId="1485927655">
    <w:abstractNumId w:val="1"/>
  </w:num>
  <w:num w:numId="11" w16cid:durableId="949357233">
    <w:abstractNumId w:val="11"/>
  </w:num>
  <w:num w:numId="12" w16cid:durableId="1680036440">
    <w:abstractNumId w:val="9"/>
  </w:num>
  <w:num w:numId="13" w16cid:durableId="1497071244">
    <w:abstractNumId w:val="8"/>
  </w:num>
  <w:num w:numId="14" w16cid:durableId="1891770715">
    <w:abstractNumId w:val="15"/>
  </w:num>
  <w:num w:numId="15" w16cid:durableId="1627002426">
    <w:abstractNumId w:val="13"/>
  </w:num>
  <w:num w:numId="16" w16cid:durableId="2072382670">
    <w:abstractNumId w:val="18"/>
  </w:num>
  <w:num w:numId="17" w16cid:durableId="1590576433">
    <w:abstractNumId w:val="4"/>
  </w:num>
  <w:num w:numId="18" w16cid:durableId="705175917">
    <w:abstractNumId w:val="3"/>
  </w:num>
  <w:num w:numId="19" w16cid:durableId="744955308">
    <w:abstractNumId w:val="0"/>
  </w:num>
  <w:num w:numId="20" w16cid:durableId="864949533">
    <w:abstractNumId w:val="7"/>
  </w:num>
  <w:num w:numId="21" w16cid:durableId="1436485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AA3"/>
    <w:rsid w:val="000303CA"/>
    <w:rsid w:val="000B39C9"/>
    <w:rsid w:val="00114310"/>
    <w:rsid w:val="00184FA9"/>
    <w:rsid w:val="00197B64"/>
    <w:rsid w:val="00197C35"/>
    <w:rsid w:val="001E3A68"/>
    <w:rsid w:val="00203EAF"/>
    <w:rsid w:val="0025590D"/>
    <w:rsid w:val="00266472"/>
    <w:rsid w:val="002B7122"/>
    <w:rsid w:val="003008E7"/>
    <w:rsid w:val="0032656E"/>
    <w:rsid w:val="00340FF3"/>
    <w:rsid w:val="003C1FD2"/>
    <w:rsid w:val="003C4CC9"/>
    <w:rsid w:val="00445A2D"/>
    <w:rsid w:val="004551BE"/>
    <w:rsid w:val="005145B9"/>
    <w:rsid w:val="005615A2"/>
    <w:rsid w:val="005B019A"/>
    <w:rsid w:val="005B0AA2"/>
    <w:rsid w:val="00602D56"/>
    <w:rsid w:val="00645679"/>
    <w:rsid w:val="006F2300"/>
    <w:rsid w:val="0071463E"/>
    <w:rsid w:val="00742895"/>
    <w:rsid w:val="007B08A7"/>
    <w:rsid w:val="008208DC"/>
    <w:rsid w:val="008302CB"/>
    <w:rsid w:val="00834F0E"/>
    <w:rsid w:val="00910D57"/>
    <w:rsid w:val="00974690"/>
    <w:rsid w:val="00A05144"/>
    <w:rsid w:val="00A43642"/>
    <w:rsid w:val="00AC6433"/>
    <w:rsid w:val="00B03764"/>
    <w:rsid w:val="00B73AD1"/>
    <w:rsid w:val="00BA0A61"/>
    <w:rsid w:val="00BF27D1"/>
    <w:rsid w:val="00C211E8"/>
    <w:rsid w:val="00C23B56"/>
    <w:rsid w:val="00CF3CB7"/>
    <w:rsid w:val="00D04D05"/>
    <w:rsid w:val="00D1131B"/>
    <w:rsid w:val="00D22AA3"/>
    <w:rsid w:val="00D27B6E"/>
    <w:rsid w:val="00D62263"/>
    <w:rsid w:val="00E13B2E"/>
    <w:rsid w:val="00E347D5"/>
    <w:rsid w:val="00E636C8"/>
    <w:rsid w:val="00EA654C"/>
    <w:rsid w:val="00EC14AE"/>
    <w:rsid w:val="00ED2C61"/>
    <w:rsid w:val="00F3563E"/>
    <w:rsid w:val="00F75235"/>
    <w:rsid w:val="00F87C4B"/>
    <w:rsid w:val="00FB46A4"/>
    <w:rsid w:val="00FE412E"/>
    <w:rsid w:val="64594043"/>
    <w:rsid w:val="6B007E31"/>
    <w:rsid w:val="6B893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C1C0E"/>
  <w15:chartTrackingRefBased/>
  <w15:docId w15:val="{5A3B8BFA-82FC-44DF-83F8-D613B1FE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3CA"/>
  </w:style>
  <w:style w:type="paragraph" w:styleId="Heading1">
    <w:name w:val="heading 1"/>
    <w:basedOn w:val="Normal"/>
    <w:next w:val="Normal"/>
    <w:link w:val="Heading1Char"/>
    <w:uiPriority w:val="9"/>
    <w:qFormat/>
    <w:rsid w:val="000303CA"/>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0303CA"/>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0303CA"/>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unhideWhenUsed/>
    <w:qFormat/>
    <w:rsid w:val="000303CA"/>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unhideWhenUsed/>
    <w:qFormat/>
    <w:rsid w:val="000303CA"/>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0303CA"/>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0303CA"/>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0303CA"/>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0303CA"/>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3CA"/>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rsid w:val="000303CA"/>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rsid w:val="000303CA"/>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rsid w:val="000303CA"/>
    <w:rPr>
      <w:rFonts w:asciiTheme="majorHAnsi" w:eastAsiaTheme="majorEastAsia" w:hAnsiTheme="majorHAnsi" w:cstheme="majorBidi"/>
      <w:caps/>
    </w:rPr>
  </w:style>
  <w:style w:type="character" w:customStyle="1" w:styleId="Heading5Char">
    <w:name w:val="Heading 5 Char"/>
    <w:basedOn w:val="DefaultParagraphFont"/>
    <w:link w:val="Heading5"/>
    <w:uiPriority w:val="9"/>
    <w:rsid w:val="000303CA"/>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0303CA"/>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0303CA"/>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0303CA"/>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0303CA"/>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0303CA"/>
    <w:pPr>
      <w:spacing w:line="240" w:lineRule="auto"/>
    </w:pPr>
    <w:rPr>
      <w:b/>
      <w:bCs/>
      <w:smallCaps/>
      <w:color w:val="595959" w:themeColor="text1" w:themeTint="A6"/>
    </w:rPr>
  </w:style>
  <w:style w:type="paragraph" w:styleId="Title">
    <w:name w:val="Title"/>
    <w:basedOn w:val="Normal"/>
    <w:next w:val="Normal"/>
    <w:link w:val="TitleChar"/>
    <w:uiPriority w:val="10"/>
    <w:qFormat/>
    <w:rsid w:val="000303CA"/>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0303CA"/>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0303CA"/>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0303CA"/>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0303CA"/>
    <w:rPr>
      <w:b/>
      <w:bCs/>
    </w:rPr>
  </w:style>
  <w:style w:type="character" w:styleId="Emphasis">
    <w:name w:val="Emphasis"/>
    <w:basedOn w:val="DefaultParagraphFont"/>
    <w:uiPriority w:val="20"/>
    <w:qFormat/>
    <w:rsid w:val="000303CA"/>
    <w:rPr>
      <w:i/>
      <w:iCs/>
    </w:rPr>
  </w:style>
  <w:style w:type="paragraph" w:styleId="NoSpacing">
    <w:name w:val="No Spacing"/>
    <w:uiPriority w:val="1"/>
    <w:qFormat/>
    <w:rsid w:val="000303CA"/>
    <w:pPr>
      <w:spacing w:after="0" w:line="240" w:lineRule="auto"/>
    </w:pPr>
  </w:style>
  <w:style w:type="paragraph" w:styleId="ListParagraph">
    <w:name w:val="List Paragraph"/>
    <w:basedOn w:val="Normal"/>
    <w:uiPriority w:val="34"/>
    <w:qFormat/>
    <w:rsid w:val="000303CA"/>
    <w:pPr>
      <w:ind w:left="720"/>
      <w:contextualSpacing/>
    </w:pPr>
  </w:style>
  <w:style w:type="paragraph" w:styleId="Quote">
    <w:name w:val="Quote"/>
    <w:basedOn w:val="Normal"/>
    <w:next w:val="Normal"/>
    <w:link w:val="QuoteChar"/>
    <w:uiPriority w:val="29"/>
    <w:qFormat/>
    <w:rsid w:val="000303CA"/>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0303CA"/>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0303CA"/>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0303CA"/>
    <w:rPr>
      <w:color w:val="404040" w:themeColor="text1" w:themeTint="BF"/>
      <w:sz w:val="32"/>
      <w:szCs w:val="32"/>
    </w:rPr>
  </w:style>
  <w:style w:type="character" w:styleId="SubtleEmphasis">
    <w:name w:val="Subtle Emphasis"/>
    <w:basedOn w:val="DefaultParagraphFont"/>
    <w:uiPriority w:val="19"/>
    <w:qFormat/>
    <w:rsid w:val="000303CA"/>
    <w:rPr>
      <w:i/>
      <w:iCs/>
      <w:color w:val="595959" w:themeColor="text1" w:themeTint="A6"/>
    </w:rPr>
  </w:style>
  <w:style w:type="character" w:styleId="IntenseEmphasis">
    <w:name w:val="Intense Emphasis"/>
    <w:basedOn w:val="DefaultParagraphFont"/>
    <w:uiPriority w:val="21"/>
    <w:qFormat/>
    <w:rsid w:val="000303CA"/>
    <w:rPr>
      <w:b/>
      <w:bCs/>
      <w:i/>
      <w:iCs/>
    </w:rPr>
  </w:style>
  <w:style w:type="character" w:styleId="SubtleReference">
    <w:name w:val="Subtle Reference"/>
    <w:basedOn w:val="DefaultParagraphFont"/>
    <w:uiPriority w:val="31"/>
    <w:qFormat/>
    <w:rsid w:val="000303C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303CA"/>
    <w:rPr>
      <w:b/>
      <w:bCs/>
      <w:caps w:val="0"/>
      <w:smallCaps/>
      <w:color w:val="auto"/>
      <w:spacing w:val="3"/>
      <w:u w:val="single"/>
    </w:rPr>
  </w:style>
  <w:style w:type="character" w:styleId="BookTitle">
    <w:name w:val="Book Title"/>
    <w:basedOn w:val="DefaultParagraphFont"/>
    <w:uiPriority w:val="33"/>
    <w:qFormat/>
    <w:rsid w:val="000303CA"/>
    <w:rPr>
      <w:b/>
      <w:bCs/>
      <w:smallCaps/>
      <w:spacing w:val="7"/>
    </w:rPr>
  </w:style>
  <w:style w:type="paragraph" w:styleId="TOCHeading">
    <w:name w:val="TOC Heading"/>
    <w:basedOn w:val="Heading1"/>
    <w:next w:val="Normal"/>
    <w:uiPriority w:val="39"/>
    <w:semiHidden/>
    <w:unhideWhenUsed/>
    <w:qFormat/>
    <w:rsid w:val="000303CA"/>
    <w:pPr>
      <w:outlineLvl w:val="9"/>
    </w:pPr>
  </w:style>
  <w:style w:type="numbering" w:customStyle="1" w:styleId="Numbers">
    <w:name w:val="Numbers"/>
    <w:rsid w:val="00D22AA3"/>
    <w:pPr>
      <w:numPr>
        <w:numId w:val="1"/>
      </w:numPr>
    </w:pPr>
  </w:style>
  <w:style w:type="table" w:styleId="TableGrid">
    <w:name w:val="Table Grid"/>
    <w:basedOn w:val="TableNormal"/>
    <w:uiPriority w:val="39"/>
    <w:rsid w:val="00EA6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28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2895"/>
  </w:style>
  <w:style w:type="paragraph" w:styleId="Footer">
    <w:name w:val="footer"/>
    <w:basedOn w:val="Normal"/>
    <w:link w:val="FooterChar"/>
    <w:uiPriority w:val="99"/>
    <w:unhideWhenUsed/>
    <w:rsid w:val="007428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895"/>
  </w:style>
  <w:style w:type="character" w:styleId="Hyperlink">
    <w:name w:val="Hyperlink"/>
    <w:basedOn w:val="DefaultParagraphFont"/>
    <w:uiPriority w:val="99"/>
    <w:unhideWhenUsed/>
    <w:rsid w:val="00B03764"/>
    <w:rPr>
      <w:color w:val="CC9900" w:themeColor="hyperlink"/>
      <w:u w:val="single"/>
    </w:rPr>
  </w:style>
  <w:style w:type="character" w:styleId="UnresolvedMention">
    <w:name w:val="Unresolved Mention"/>
    <w:basedOn w:val="DefaultParagraphFont"/>
    <w:uiPriority w:val="99"/>
    <w:semiHidden/>
    <w:unhideWhenUsed/>
    <w:rsid w:val="00B037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ontact@vmia.vic.gov.au" TargetMode="External"/><Relationship Id="rId4" Type="http://schemas.openxmlformats.org/officeDocument/2006/relationships/settings" Target="settings.xml"/><Relationship Id="rId9" Type="http://schemas.openxmlformats.org/officeDocument/2006/relationships/hyperlink" Target="chrome-extension://efaidnbmnnnibpcajpcglclefindmkaj/https:/www.vmia.vic.gov.au/-/media/Internet/Content-Documents/Insure/CSO-program/CSO-Neighbourhood-Houses-quick-reference-guide-2024-2025.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79EA2-7A9C-4F25-84F6-C5CF202B2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3489</Characters>
  <Application>Microsoft Office Word</Application>
  <DocSecurity>0</DocSecurity>
  <Lines>29</Lines>
  <Paragraphs>8</Paragraphs>
  <ScaleCrop>false</ScaleCrop>
  <Company>..</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Networker - CHCHN</dc:creator>
  <cp:keywords/>
  <dc:description/>
  <cp:lastModifiedBy>Jane Grimwood</cp:lastModifiedBy>
  <cp:revision>4</cp:revision>
  <dcterms:created xsi:type="dcterms:W3CDTF">2025-01-21T04:26:00Z</dcterms:created>
  <dcterms:modified xsi:type="dcterms:W3CDTF">2025-07-10T02:59:00Z</dcterms:modified>
</cp:coreProperties>
</file>