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DE8D8" w14:textId="77777777" w:rsidR="006F124E" w:rsidRPr="006F124E" w:rsidRDefault="006F124E" w:rsidP="006F124E">
      <w:pPr>
        <w:spacing w:after="0" w:line="240" w:lineRule="auto"/>
        <w:contextualSpacing/>
        <w:jc w:val="right"/>
        <w:rPr>
          <w:rFonts w:ascii="Calibri Light" w:eastAsiaTheme="majorEastAsia" w:hAnsi="Calibri Light" w:cs="Calibri Light"/>
          <w:i/>
          <w:caps/>
          <w:color w:val="404040" w:themeColor="text1" w:themeTint="BF"/>
          <w:spacing w:val="-10"/>
          <w:sz w:val="44"/>
          <w:szCs w:val="72"/>
          <w:lang w:eastAsia="en-US"/>
        </w:rPr>
      </w:pPr>
      <w:r w:rsidRPr="006F124E">
        <w:rPr>
          <w:rFonts w:ascii="Calibri Light" w:eastAsiaTheme="majorEastAsia" w:hAnsi="Calibri Light" w:cs="Calibri Light"/>
          <w:i/>
          <w:caps/>
          <w:noProof/>
          <w:color w:val="FF0000"/>
          <w:spacing w:val="-10"/>
          <w:sz w:val="32"/>
          <w:szCs w:val="72"/>
        </w:rPr>
        <w:drawing>
          <wp:anchor distT="0" distB="0" distL="114300" distR="114300" simplePos="0" relativeHeight="251658240" behindDoc="1" locked="0" layoutInCell="1" allowOverlap="1" wp14:anchorId="5F15B57D" wp14:editId="1EC492A6">
            <wp:simplePos x="0" y="0"/>
            <wp:positionH relativeFrom="margin">
              <wp:align>left</wp:align>
            </wp:positionH>
            <wp:positionV relativeFrom="paragraph">
              <wp:posOffset>0</wp:posOffset>
            </wp:positionV>
            <wp:extent cx="771525" cy="771525"/>
            <wp:effectExtent l="0" t="0" r="9525" b="9525"/>
            <wp:wrapTight wrapText="bothSides">
              <wp:wrapPolygon edited="0">
                <wp:start x="0" y="0"/>
                <wp:lineTo x="0" y="21333"/>
                <wp:lineTo x="21333" y="21333"/>
                <wp:lineTo x="21333" y="0"/>
                <wp:lineTo x="0" y="0"/>
              </wp:wrapPolygon>
            </wp:wrapTight>
            <wp:docPr id="2" name="Picture 2" descr="A white squar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square with black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margin">
              <wp14:pctWidth>0</wp14:pctWidth>
            </wp14:sizeRelH>
            <wp14:sizeRelV relativeFrom="margin">
              <wp14:pctHeight>0</wp14:pctHeight>
            </wp14:sizeRelV>
          </wp:anchor>
        </w:drawing>
      </w:r>
      <w:r w:rsidRPr="006F124E">
        <w:rPr>
          <w:rFonts w:ascii="Calibri Light" w:eastAsiaTheme="majorEastAsia" w:hAnsi="Calibri Light" w:cs="Calibri Light"/>
          <w:i/>
          <w:caps/>
          <w:color w:val="FF0000"/>
          <w:spacing w:val="-10"/>
          <w:sz w:val="32"/>
          <w:szCs w:val="72"/>
          <w:lang w:eastAsia="en-US"/>
        </w:rPr>
        <w:t>[Your organisation]</w:t>
      </w:r>
    </w:p>
    <w:p w14:paraId="13CA9DD5" w14:textId="0D259732" w:rsidR="006F124E" w:rsidRPr="006F124E" w:rsidRDefault="006F124E" w:rsidP="006F124E">
      <w:pPr>
        <w:spacing w:after="0" w:line="240" w:lineRule="auto"/>
        <w:contextualSpacing/>
        <w:jc w:val="right"/>
        <w:rPr>
          <w:rFonts w:ascii="Calibri Light" w:eastAsiaTheme="majorEastAsia" w:hAnsi="Calibri Light" w:cs="Calibri Light"/>
          <w:caps/>
          <w:color w:val="404040" w:themeColor="text1" w:themeTint="BF"/>
          <w:spacing w:val="-10"/>
          <w:sz w:val="72"/>
          <w:szCs w:val="72"/>
          <w:lang w:eastAsia="en-US"/>
        </w:rPr>
      </w:pPr>
      <w:r w:rsidRPr="006F124E">
        <w:rPr>
          <w:rFonts w:ascii="Calibri Light" w:eastAsiaTheme="majorEastAsia" w:hAnsi="Calibri Light" w:cs="Calibri Light"/>
          <w:caps/>
          <w:color w:val="404040" w:themeColor="text1" w:themeTint="BF"/>
          <w:spacing w:val="-10"/>
          <w:sz w:val="72"/>
          <w:szCs w:val="72"/>
          <w:lang w:eastAsia="en-US"/>
        </w:rPr>
        <w:t>VMIA Insurance</w:t>
      </w:r>
      <w:r>
        <w:rPr>
          <w:rFonts w:ascii="Calibri Light" w:eastAsiaTheme="majorEastAsia" w:hAnsi="Calibri Light" w:cs="Calibri Light"/>
          <w:caps/>
          <w:color w:val="404040" w:themeColor="text1" w:themeTint="BF"/>
          <w:spacing w:val="-10"/>
          <w:sz w:val="72"/>
          <w:szCs w:val="72"/>
          <w:lang w:eastAsia="en-US"/>
        </w:rPr>
        <w:t xml:space="preserve"> – Auspice Arrangements</w:t>
      </w:r>
    </w:p>
    <w:p w14:paraId="6422DEFF" w14:textId="77777777" w:rsidR="006F124E" w:rsidRDefault="006F124E" w:rsidP="006F124E">
      <w:pPr>
        <w:spacing w:after="0" w:line="240" w:lineRule="auto"/>
        <w:rPr>
          <w:rFonts w:eastAsia="Times New Roman" w:cstheme="minorHAnsi"/>
          <w:lang w:eastAsia="en-US"/>
        </w:rPr>
      </w:pPr>
    </w:p>
    <w:p w14:paraId="1559FE0F" w14:textId="77777777" w:rsidR="006F124E" w:rsidRDefault="006F124E" w:rsidP="006F124E">
      <w:pPr>
        <w:spacing w:after="0" w:line="240" w:lineRule="auto"/>
        <w:rPr>
          <w:rFonts w:eastAsia="Times New Roman" w:cstheme="minorHAnsi"/>
          <w:lang w:eastAsia="en-US"/>
        </w:rPr>
      </w:pPr>
    </w:p>
    <w:p w14:paraId="569D61B3" w14:textId="297614B9" w:rsidR="006F124E" w:rsidRPr="003E5025" w:rsidRDefault="003E5025" w:rsidP="5A11B606">
      <w:pPr>
        <w:spacing w:after="0" w:line="240" w:lineRule="auto"/>
        <w:rPr>
          <w:rFonts w:ascii="Calibri" w:eastAsia="Times New Roman" w:hAnsi="Calibri" w:cs="Calibri"/>
          <w:lang w:eastAsia="en-US"/>
        </w:rPr>
      </w:pPr>
      <w:r w:rsidRPr="5A11B606">
        <w:rPr>
          <w:rFonts w:ascii="Calibri" w:eastAsia="Times New Roman" w:hAnsi="Calibri" w:cs="Calibri"/>
          <w:lang w:eastAsia="en-US"/>
        </w:rPr>
        <w:t xml:space="preserve">The CSO Insurance Program offers coverage for auspice arrangements, enabling unincorporated community groups to access the program through their </w:t>
      </w:r>
      <w:r w:rsidR="00966919">
        <w:rPr>
          <w:rFonts w:ascii="Calibri" w:eastAsia="Times New Roman" w:hAnsi="Calibri" w:cs="Calibri"/>
          <w:lang w:eastAsia="en-US"/>
        </w:rPr>
        <w:t>N</w:t>
      </w:r>
      <w:r w:rsidRPr="5A11B606">
        <w:rPr>
          <w:rFonts w:ascii="Calibri" w:eastAsia="Times New Roman" w:hAnsi="Calibri" w:cs="Calibri"/>
          <w:lang w:eastAsia="en-US"/>
        </w:rPr>
        <w:t xml:space="preserve">eighbourhood </w:t>
      </w:r>
      <w:r w:rsidR="00966919">
        <w:rPr>
          <w:rFonts w:ascii="Calibri" w:eastAsia="Times New Roman" w:hAnsi="Calibri" w:cs="Calibri"/>
          <w:lang w:eastAsia="en-US"/>
        </w:rPr>
        <w:t>H</w:t>
      </w:r>
      <w:r w:rsidRPr="5A11B606">
        <w:rPr>
          <w:rFonts w:ascii="Calibri" w:eastAsia="Times New Roman" w:hAnsi="Calibri" w:cs="Calibri"/>
          <w:lang w:eastAsia="en-US"/>
        </w:rPr>
        <w:t xml:space="preserve">ouse. This support option benefits the community by expanding the neighbourhood house's range of activities. However, it also requires the </w:t>
      </w:r>
      <w:r w:rsidR="00966919">
        <w:rPr>
          <w:rFonts w:ascii="Calibri" w:eastAsia="Times New Roman" w:hAnsi="Calibri" w:cs="Calibri"/>
          <w:lang w:eastAsia="en-US"/>
        </w:rPr>
        <w:t>N</w:t>
      </w:r>
      <w:r w:rsidRPr="5A11B606">
        <w:rPr>
          <w:rFonts w:ascii="Calibri" w:eastAsia="Times New Roman" w:hAnsi="Calibri" w:cs="Calibri"/>
          <w:lang w:eastAsia="en-US"/>
        </w:rPr>
        <w:t xml:space="preserve">eighbourhood </w:t>
      </w:r>
      <w:r w:rsidR="00966919">
        <w:rPr>
          <w:rFonts w:ascii="Calibri" w:eastAsia="Times New Roman" w:hAnsi="Calibri" w:cs="Calibri"/>
          <w:lang w:eastAsia="en-US"/>
        </w:rPr>
        <w:t>H</w:t>
      </w:r>
      <w:r w:rsidRPr="5A11B606">
        <w:rPr>
          <w:rFonts w:ascii="Calibri" w:eastAsia="Times New Roman" w:hAnsi="Calibri" w:cs="Calibri"/>
          <w:lang w:eastAsia="en-US"/>
        </w:rPr>
        <w:t>ouse Board to take on responsibility and control over the group's risk management.</w:t>
      </w:r>
    </w:p>
    <w:p w14:paraId="5D6C1C08" w14:textId="77777777" w:rsidR="003E5025" w:rsidRPr="003E5025" w:rsidRDefault="003E5025" w:rsidP="006F124E">
      <w:pPr>
        <w:spacing w:after="0" w:line="240" w:lineRule="auto"/>
        <w:rPr>
          <w:rFonts w:ascii="Calibri" w:eastAsia="Times New Roman" w:hAnsi="Calibri" w:cs="Calibri"/>
          <w:lang w:eastAsia="en-US"/>
        </w:rPr>
      </w:pPr>
    </w:p>
    <w:p w14:paraId="6DAF76EC" w14:textId="14885E54" w:rsidR="006F124E" w:rsidRPr="003E5025" w:rsidRDefault="006F124E" w:rsidP="006F124E">
      <w:pPr>
        <w:spacing w:after="0" w:line="240" w:lineRule="auto"/>
        <w:rPr>
          <w:rFonts w:ascii="Calibri" w:eastAsia="Times New Roman" w:hAnsi="Calibri" w:cs="Calibri"/>
          <w:lang w:eastAsia="en-US"/>
        </w:rPr>
      </w:pPr>
      <w:r w:rsidRPr="003E5025">
        <w:rPr>
          <w:rFonts w:ascii="Calibri" w:eastAsia="Times New Roman" w:hAnsi="Calibri" w:cs="Calibri"/>
          <w:b/>
          <w:bCs/>
          <w:i/>
          <w:iCs/>
          <w:lang w:eastAsia="en-US"/>
        </w:rPr>
        <w:t>It is important to note that the auspice and insurance program do</w:t>
      </w:r>
      <w:r w:rsidR="003E5025" w:rsidRPr="003E5025">
        <w:rPr>
          <w:rFonts w:ascii="Calibri" w:eastAsia="Times New Roman" w:hAnsi="Calibri" w:cs="Calibri"/>
          <w:b/>
          <w:bCs/>
          <w:i/>
          <w:iCs/>
          <w:lang w:eastAsia="en-US"/>
        </w:rPr>
        <w:t>es</w:t>
      </w:r>
      <w:r w:rsidRPr="003E5025">
        <w:rPr>
          <w:rFonts w:ascii="Calibri" w:eastAsia="Times New Roman" w:hAnsi="Calibri" w:cs="Calibri"/>
          <w:b/>
          <w:bCs/>
          <w:i/>
          <w:iCs/>
          <w:lang w:eastAsia="en-US"/>
        </w:rPr>
        <w:t xml:space="preserve"> not provide insurance cover for individual participants</w:t>
      </w:r>
      <w:r w:rsidRPr="003E5025">
        <w:rPr>
          <w:rFonts w:ascii="Calibri" w:eastAsia="Times New Roman" w:hAnsi="Calibri" w:cs="Calibri"/>
          <w:lang w:eastAsia="en-US"/>
        </w:rPr>
        <w:t>. For more information on how cover works, refer to the VMIA Insurance Guidance Document, or directly to the VMIA on</w:t>
      </w:r>
      <w:r w:rsidR="003E5025" w:rsidRPr="003E5025">
        <w:rPr>
          <w:rFonts w:ascii="Calibri" w:eastAsia="Times New Roman" w:hAnsi="Calibri" w:cs="Calibri"/>
          <w:lang w:eastAsia="en-US"/>
        </w:rPr>
        <w:t>:</w:t>
      </w:r>
    </w:p>
    <w:p w14:paraId="2E25BD7D" w14:textId="77777777" w:rsidR="006F124E" w:rsidRPr="003E5025" w:rsidRDefault="006F124E" w:rsidP="006F124E">
      <w:pPr>
        <w:pStyle w:val="ListParagraph"/>
        <w:numPr>
          <w:ilvl w:val="0"/>
          <w:numId w:val="2"/>
        </w:numPr>
        <w:spacing w:after="0" w:line="240" w:lineRule="auto"/>
        <w:rPr>
          <w:rFonts w:ascii="Calibri" w:eastAsia="Times New Roman" w:hAnsi="Calibri" w:cs="Calibri"/>
          <w:lang w:eastAsia="en-US"/>
        </w:rPr>
      </w:pPr>
      <w:hyperlink r:id="rId12" w:history="1">
        <w:r w:rsidRPr="003E5025">
          <w:rPr>
            <w:rStyle w:val="Hyperlink"/>
            <w:rFonts w:ascii="Calibri" w:eastAsia="Times New Roman" w:hAnsi="Calibri" w:cs="Calibri"/>
            <w:lang w:eastAsia="en-US"/>
          </w:rPr>
          <w:t>CSO Insurance Guide</w:t>
        </w:r>
      </w:hyperlink>
      <w:r w:rsidRPr="003E5025">
        <w:rPr>
          <w:rFonts w:ascii="Calibri" w:eastAsia="Times New Roman" w:hAnsi="Calibri" w:cs="Calibri"/>
          <w:lang w:eastAsia="en-US"/>
        </w:rPr>
        <w:t xml:space="preserve"> </w:t>
      </w:r>
    </w:p>
    <w:p w14:paraId="5F5474C2" w14:textId="5B823B31" w:rsidR="006F124E" w:rsidRPr="003E5025" w:rsidRDefault="006F124E" w:rsidP="006F124E">
      <w:pPr>
        <w:pStyle w:val="ListParagraph"/>
        <w:numPr>
          <w:ilvl w:val="0"/>
          <w:numId w:val="2"/>
        </w:numPr>
        <w:spacing w:after="0" w:line="240" w:lineRule="auto"/>
        <w:rPr>
          <w:rFonts w:ascii="Calibri" w:eastAsia="Times New Roman" w:hAnsi="Calibri" w:cs="Calibri"/>
          <w:lang w:eastAsia="en-US"/>
        </w:rPr>
      </w:pPr>
      <w:hyperlink r:id="rId13" w:history="1">
        <w:r w:rsidRPr="003E5025">
          <w:rPr>
            <w:rStyle w:val="Hyperlink"/>
            <w:rFonts w:ascii="Calibri" w:eastAsia="Times New Roman" w:hAnsi="Calibri" w:cs="Calibri"/>
            <w:lang w:eastAsia="en-US"/>
          </w:rPr>
          <w:t>Neighbourhood House Quick Reference Guide</w:t>
        </w:r>
      </w:hyperlink>
    </w:p>
    <w:p w14:paraId="2F181565" w14:textId="12943E1C" w:rsidR="006F124E" w:rsidRPr="003E5025" w:rsidRDefault="006F124E" w:rsidP="006F124E">
      <w:pPr>
        <w:pStyle w:val="ListParagraph"/>
        <w:numPr>
          <w:ilvl w:val="0"/>
          <w:numId w:val="2"/>
        </w:numPr>
        <w:spacing w:after="0" w:line="240" w:lineRule="auto"/>
        <w:rPr>
          <w:rFonts w:ascii="Calibri" w:eastAsia="Times New Roman" w:hAnsi="Calibri" w:cs="Calibri"/>
          <w:lang w:eastAsia="en-US"/>
        </w:rPr>
      </w:pPr>
      <w:r w:rsidRPr="003E5025">
        <w:rPr>
          <w:rFonts w:ascii="Calibri" w:eastAsia="Times New Roman" w:hAnsi="Calibri" w:cs="Calibri"/>
          <w:lang w:eastAsia="en-US"/>
        </w:rPr>
        <w:t xml:space="preserve">Contact: 03 9270 6990, </w:t>
      </w:r>
      <w:hyperlink r:id="rId14" w:history="1">
        <w:r w:rsidRPr="003E5025">
          <w:rPr>
            <w:rStyle w:val="Hyperlink"/>
            <w:rFonts w:ascii="Calibri" w:eastAsia="Times New Roman" w:hAnsi="Calibri" w:cs="Calibri"/>
            <w:lang w:eastAsia="en-US"/>
          </w:rPr>
          <w:t>contact@vmia.vic.gov.au</w:t>
        </w:r>
      </w:hyperlink>
      <w:r w:rsidRPr="003E5025">
        <w:rPr>
          <w:rFonts w:ascii="Calibri" w:eastAsia="Times New Roman" w:hAnsi="Calibri" w:cs="Calibri"/>
          <w:lang w:eastAsia="en-US"/>
        </w:rPr>
        <w:t xml:space="preserve"> </w:t>
      </w:r>
    </w:p>
    <w:p w14:paraId="3F3A018C" w14:textId="77777777" w:rsidR="006F124E" w:rsidRPr="003E5025" w:rsidRDefault="006F124E" w:rsidP="006F124E">
      <w:pPr>
        <w:spacing w:after="0" w:line="240" w:lineRule="auto"/>
        <w:rPr>
          <w:rFonts w:ascii="Calibri" w:eastAsia="Times New Roman" w:hAnsi="Calibri" w:cs="Calibri"/>
          <w:lang w:eastAsia="en-US"/>
        </w:rPr>
      </w:pPr>
    </w:p>
    <w:p w14:paraId="6F30FDB5" w14:textId="26C131D1" w:rsidR="006F124E" w:rsidRPr="003E5025" w:rsidRDefault="00E4120D" w:rsidP="006F124E">
      <w:pPr>
        <w:spacing w:after="0" w:line="240" w:lineRule="auto"/>
        <w:rPr>
          <w:rFonts w:ascii="Calibri" w:eastAsia="Times New Roman" w:hAnsi="Calibri" w:cs="Calibri"/>
          <w:b/>
          <w:bCs/>
          <w:u w:val="single"/>
          <w:lang w:eastAsia="en-US"/>
        </w:rPr>
      </w:pPr>
      <w:r>
        <w:rPr>
          <w:rFonts w:ascii="Calibri" w:eastAsia="Times New Roman" w:hAnsi="Calibri" w:cs="Calibri"/>
          <w:b/>
          <w:bCs/>
          <w:u w:val="single"/>
          <w:lang w:eastAsia="en-US"/>
        </w:rPr>
        <w:t xml:space="preserve">Auspice Checklist: </w:t>
      </w:r>
    </w:p>
    <w:p w14:paraId="706A7022" w14:textId="77777777" w:rsidR="003E5025" w:rsidRPr="003E5025" w:rsidRDefault="003E5025" w:rsidP="006F124E">
      <w:pPr>
        <w:spacing w:after="0" w:line="240" w:lineRule="auto"/>
        <w:rPr>
          <w:rFonts w:ascii="Calibri" w:eastAsia="Times New Roman" w:hAnsi="Calibri" w:cs="Calibri"/>
          <w:lang w:eastAsia="en-US"/>
        </w:rPr>
      </w:pPr>
    </w:p>
    <w:p w14:paraId="767B014B" w14:textId="3E98A39A" w:rsidR="00E4120D" w:rsidRDefault="006F6E47" w:rsidP="5A11B606">
      <w:pPr>
        <w:spacing w:after="0" w:line="240" w:lineRule="auto"/>
        <w:ind w:left="709" w:hanging="709"/>
        <w:rPr>
          <w:rFonts w:ascii="Calibri" w:eastAsia="Times New Roman" w:hAnsi="Calibri" w:cs="Calibri"/>
          <w:lang w:eastAsia="en-US"/>
        </w:rPr>
      </w:pPr>
      <w:sdt>
        <w:sdtPr>
          <w:rPr>
            <w:rFonts w:ascii="Calibri" w:eastAsia="Times New Roman" w:hAnsi="Calibri" w:cs="Calibri"/>
            <w:lang w:eastAsia="en-US"/>
          </w:rPr>
          <w:id w:val="-1196234695"/>
          <w14:checkbox>
            <w14:checked w14:val="0"/>
            <w14:checkedState w14:val="2612" w14:font="MS Gothic"/>
            <w14:uncheckedState w14:val="2610" w14:font="MS Gothic"/>
          </w14:checkbox>
        </w:sdtPr>
        <w:sdtEndPr/>
        <w:sdtContent>
          <w:r w:rsidR="00E4120D" w:rsidRPr="5A11B606">
            <w:rPr>
              <w:rFonts w:ascii="MS Gothic" w:eastAsia="MS Gothic" w:hAnsi="MS Gothic" w:cs="Calibri"/>
              <w:lang w:eastAsia="en-US"/>
            </w:rPr>
            <w:t>☐</w:t>
          </w:r>
        </w:sdtContent>
      </w:sdt>
      <w:r w:rsidR="00E4120D">
        <w:rPr>
          <w:rFonts w:ascii="Calibri" w:eastAsia="Times New Roman" w:hAnsi="Calibri" w:cs="Calibri"/>
          <w:lang w:eastAsia="en-US"/>
        </w:rPr>
        <w:tab/>
      </w:r>
      <w:r w:rsidR="00E4120D" w:rsidRPr="5A11B606">
        <w:rPr>
          <w:rFonts w:ascii="Calibri" w:eastAsia="Times New Roman" w:hAnsi="Calibri" w:cs="Calibri"/>
          <w:b/>
          <w:bCs/>
          <w:lang w:eastAsia="en-US"/>
        </w:rPr>
        <w:t>Neighbourhood House assumes financial, legal and administrative control</w:t>
      </w:r>
      <w:r w:rsidR="00E4120D" w:rsidRPr="00E4120D">
        <w:rPr>
          <w:rFonts w:ascii="Calibri" w:eastAsia="Times New Roman" w:hAnsi="Calibri" w:cs="Calibri"/>
          <w:b/>
          <w:bCs/>
          <w:lang w:eastAsia="en-US"/>
        </w:rPr>
        <w:tab/>
      </w:r>
    </w:p>
    <w:p w14:paraId="22F3FE1E" w14:textId="4543E98A" w:rsidR="00E4120D" w:rsidRDefault="00E4120D" w:rsidP="5A11B606">
      <w:pPr>
        <w:spacing w:after="0" w:line="240" w:lineRule="auto"/>
        <w:ind w:left="709" w:hanging="709"/>
        <w:rPr>
          <w:rFonts w:ascii="Calibri" w:eastAsia="Times New Roman" w:hAnsi="Calibri" w:cs="Calibri"/>
          <w:lang w:eastAsia="en-US"/>
        </w:rPr>
      </w:pPr>
      <w:r>
        <w:rPr>
          <w:rFonts w:ascii="Calibri" w:eastAsia="Times New Roman" w:hAnsi="Calibri" w:cs="Calibri"/>
          <w:lang w:eastAsia="en-US"/>
        </w:rPr>
        <w:tab/>
      </w:r>
      <w:r w:rsidR="003E5025" w:rsidRPr="5A11B606">
        <w:rPr>
          <w:rFonts w:ascii="Calibri" w:eastAsia="Times New Roman" w:hAnsi="Calibri" w:cs="Calibri"/>
          <w:lang w:eastAsia="en-US"/>
        </w:rPr>
        <w:t xml:space="preserve">The group must agree to allow the </w:t>
      </w:r>
      <w:r w:rsidR="00966919">
        <w:rPr>
          <w:rFonts w:ascii="Calibri" w:eastAsia="Times New Roman" w:hAnsi="Calibri" w:cs="Calibri"/>
          <w:lang w:eastAsia="en-US"/>
        </w:rPr>
        <w:t>N</w:t>
      </w:r>
      <w:r w:rsidR="003E5025" w:rsidRPr="5A11B606">
        <w:rPr>
          <w:rFonts w:ascii="Calibri" w:eastAsia="Times New Roman" w:hAnsi="Calibri" w:cs="Calibri"/>
          <w:lang w:eastAsia="en-US"/>
        </w:rPr>
        <w:t xml:space="preserve">eighbourhood </w:t>
      </w:r>
      <w:r w:rsidR="00966919">
        <w:rPr>
          <w:rFonts w:ascii="Calibri" w:eastAsia="Times New Roman" w:hAnsi="Calibri" w:cs="Calibri"/>
          <w:lang w:eastAsia="en-US"/>
        </w:rPr>
        <w:t>H</w:t>
      </w:r>
      <w:r w:rsidR="003E5025" w:rsidRPr="5A11B606">
        <w:rPr>
          <w:rFonts w:ascii="Calibri" w:eastAsia="Times New Roman" w:hAnsi="Calibri" w:cs="Calibri"/>
          <w:lang w:eastAsia="en-US"/>
        </w:rPr>
        <w:t xml:space="preserve">ouse financial, legal, and administrative oversight and direction. This does not mean the group loses its ability to manage itself, but written arrangements should outline the group's activities, how the </w:t>
      </w:r>
      <w:r w:rsidR="00966919">
        <w:rPr>
          <w:rFonts w:ascii="Calibri" w:eastAsia="Times New Roman" w:hAnsi="Calibri" w:cs="Calibri"/>
          <w:lang w:eastAsia="en-US"/>
        </w:rPr>
        <w:t>N</w:t>
      </w:r>
      <w:r w:rsidR="003E5025" w:rsidRPr="5A11B606">
        <w:rPr>
          <w:rFonts w:ascii="Calibri" w:eastAsia="Times New Roman" w:hAnsi="Calibri" w:cs="Calibri"/>
          <w:lang w:eastAsia="en-US"/>
        </w:rPr>
        <w:t xml:space="preserve">eighbourhood </w:t>
      </w:r>
      <w:r w:rsidR="00966919">
        <w:rPr>
          <w:rFonts w:ascii="Calibri" w:eastAsia="Times New Roman" w:hAnsi="Calibri" w:cs="Calibri"/>
          <w:lang w:eastAsia="en-US"/>
        </w:rPr>
        <w:t>H</w:t>
      </w:r>
      <w:r w:rsidR="003E5025" w:rsidRPr="5A11B606">
        <w:rPr>
          <w:rFonts w:ascii="Calibri" w:eastAsia="Times New Roman" w:hAnsi="Calibri" w:cs="Calibri"/>
          <w:lang w:eastAsia="en-US"/>
        </w:rPr>
        <w:t xml:space="preserve">ouse will be kept informed and exercise </w:t>
      </w:r>
      <w:r w:rsidRPr="5A11B606">
        <w:rPr>
          <w:rFonts w:ascii="Calibri" w:eastAsia="Times New Roman" w:hAnsi="Calibri" w:cs="Calibri"/>
          <w:lang w:eastAsia="en-US"/>
        </w:rPr>
        <w:t>control</w:t>
      </w:r>
      <w:r w:rsidR="003E5025" w:rsidRPr="5A11B606">
        <w:rPr>
          <w:rFonts w:ascii="Calibri" w:eastAsia="Times New Roman" w:hAnsi="Calibri" w:cs="Calibri"/>
          <w:lang w:eastAsia="en-US"/>
        </w:rPr>
        <w:t>, and how any changes will be communicated and approved.</w:t>
      </w:r>
      <w:r w:rsidRPr="5A11B606">
        <w:rPr>
          <w:rFonts w:ascii="Calibri" w:eastAsia="Times New Roman" w:hAnsi="Calibri" w:cs="Calibri"/>
          <w:lang w:eastAsia="en-US"/>
        </w:rPr>
        <w:t xml:space="preserve">               </w:t>
      </w:r>
    </w:p>
    <w:p w14:paraId="60486B8D" w14:textId="26A1A998" w:rsidR="003E5025" w:rsidRPr="00E4120D" w:rsidRDefault="003E5025" w:rsidP="00E4120D">
      <w:pPr>
        <w:spacing w:after="0" w:line="240" w:lineRule="auto"/>
        <w:ind w:firstLine="709"/>
        <w:rPr>
          <w:rFonts w:ascii="Calibri" w:eastAsia="Times New Roman" w:hAnsi="Calibri" w:cs="Calibri"/>
          <w:u w:val="single"/>
          <w:lang w:eastAsia="en-US"/>
        </w:rPr>
      </w:pPr>
      <w:r w:rsidRPr="00E4120D">
        <w:rPr>
          <w:rFonts w:ascii="Calibri" w:eastAsia="Times New Roman" w:hAnsi="Calibri" w:cs="Calibri"/>
          <w:u w:val="single"/>
          <w:lang w:eastAsia="en-US"/>
        </w:rPr>
        <w:t xml:space="preserve">Without agreement for control the auspice is invalid. </w:t>
      </w:r>
    </w:p>
    <w:p w14:paraId="6A1D1713" w14:textId="77777777" w:rsidR="003E5025" w:rsidRPr="003E5025" w:rsidRDefault="003E5025" w:rsidP="003E5025">
      <w:pPr>
        <w:spacing w:after="0" w:line="240" w:lineRule="auto"/>
        <w:rPr>
          <w:rFonts w:ascii="Calibri" w:eastAsia="Times New Roman" w:hAnsi="Calibri" w:cs="Calibri"/>
          <w:b/>
          <w:bCs/>
          <w:lang w:eastAsia="en-US"/>
        </w:rPr>
      </w:pPr>
    </w:p>
    <w:p w14:paraId="342AECA7" w14:textId="7423C023" w:rsidR="00E4120D" w:rsidRDefault="006F6E47" w:rsidP="00E4120D">
      <w:pPr>
        <w:spacing w:after="0" w:line="240" w:lineRule="auto"/>
        <w:ind w:left="709" w:hanging="709"/>
        <w:rPr>
          <w:rFonts w:ascii="Calibri" w:eastAsia="Times New Roman" w:hAnsi="Calibri" w:cs="Calibri"/>
          <w:lang w:eastAsia="en-US"/>
        </w:rPr>
      </w:pPr>
      <w:sdt>
        <w:sdtPr>
          <w:rPr>
            <w:rFonts w:ascii="Calibri" w:eastAsia="Times New Roman" w:hAnsi="Calibri" w:cs="Calibri"/>
            <w:lang w:eastAsia="en-US"/>
          </w:rPr>
          <w:id w:val="-67032897"/>
          <w14:checkbox>
            <w14:checked w14:val="0"/>
            <w14:checkedState w14:val="2612" w14:font="MS Gothic"/>
            <w14:uncheckedState w14:val="2610" w14:font="MS Gothic"/>
          </w14:checkbox>
        </w:sdtPr>
        <w:sdtEndPr/>
        <w:sdtContent>
          <w:r w:rsidR="00E4120D">
            <w:rPr>
              <w:rFonts w:ascii="MS Gothic" w:eastAsia="MS Gothic" w:hAnsi="MS Gothic" w:cs="Calibri" w:hint="eastAsia"/>
              <w:lang w:eastAsia="en-US"/>
            </w:rPr>
            <w:t>☐</w:t>
          </w:r>
        </w:sdtContent>
      </w:sdt>
      <w:r w:rsidR="00E4120D" w:rsidRPr="00E4120D">
        <w:rPr>
          <w:rFonts w:ascii="Calibri" w:eastAsia="Times New Roman" w:hAnsi="Calibri" w:cs="Calibri"/>
          <w:lang w:eastAsia="en-US"/>
        </w:rPr>
        <w:t xml:space="preserve"> </w:t>
      </w:r>
      <w:r w:rsidR="00E4120D">
        <w:rPr>
          <w:rFonts w:ascii="Calibri" w:eastAsia="Times New Roman" w:hAnsi="Calibri" w:cs="Calibri"/>
          <w:lang w:eastAsia="en-US"/>
        </w:rPr>
        <w:tab/>
      </w:r>
      <w:r w:rsidR="00E4120D" w:rsidRPr="00E4120D">
        <w:rPr>
          <w:rFonts w:ascii="Calibri" w:eastAsia="Times New Roman" w:hAnsi="Calibri" w:cs="Calibri"/>
          <w:b/>
          <w:bCs/>
          <w:lang w:eastAsia="en-US"/>
        </w:rPr>
        <w:t>Board Resolution to accept the Auspice Arrangement</w:t>
      </w:r>
      <w:r w:rsidR="00E4120D">
        <w:rPr>
          <w:rFonts w:ascii="Calibri" w:eastAsia="Times New Roman" w:hAnsi="Calibri" w:cs="Calibri"/>
          <w:lang w:eastAsia="en-US"/>
        </w:rPr>
        <w:t xml:space="preserve"> </w:t>
      </w:r>
    </w:p>
    <w:p w14:paraId="626EEE23" w14:textId="4204B584" w:rsidR="003E5025" w:rsidRDefault="00E4120D" w:rsidP="5A11B606">
      <w:pPr>
        <w:spacing w:after="0" w:line="240" w:lineRule="auto"/>
        <w:ind w:left="709"/>
        <w:rPr>
          <w:rFonts w:ascii="Calibri" w:eastAsia="Times New Roman" w:hAnsi="Calibri" w:cs="Calibri"/>
          <w:lang w:eastAsia="en-US"/>
        </w:rPr>
      </w:pPr>
      <w:r w:rsidRPr="5A11B606">
        <w:rPr>
          <w:rFonts w:ascii="Calibri" w:eastAsia="Times New Roman" w:hAnsi="Calibri" w:cs="Calibri"/>
          <w:lang w:eastAsia="en-US"/>
        </w:rPr>
        <w:t>The Board should evaluate the merits, benefits, and risks associated with the additional activities of the unincorporated group. It is essential that the Board ensures the organisation has sufficient capacity to manage and oversee the group's activities. The Board must approve and pass a resolution confirming that the organisation agrees to auspice the unincorporated group and their activities.</w:t>
      </w:r>
    </w:p>
    <w:p w14:paraId="60AC3CBE" w14:textId="34386E23" w:rsidR="00E4120D" w:rsidRPr="00E4120D" w:rsidRDefault="00E4120D" w:rsidP="00E4120D">
      <w:pPr>
        <w:spacing w:after="0" w:line="240" w:lineRule="auto"/>
        <w:ind w:firstLine="709"/>
        <w:rPr>
          <w:rFonts w:ascii="Calibri" w:eastAsia="Times New Roman" w:hAnsi="Calibri" w:cs="Calibri"/>
          <w:u w:val="single"/>
          <w:lang w:eastAsia="en-US"/>
        </w:rPr>
      </w:pPr>
      <w:r w:rsidRPr="00E4120D">
        <w:rPr>
          <w:rFonts w:ascii="Calibri" w:eastAsia="Times New Roman" w:hAnsi="Calibri" w:cs="Calibri"/>
          <w:u w:val="single"/>
          <w:lang w:eastAsia="en-US"/>
        </w:rPr>
        <w:t xml:space="preserve">Without </w:t>
      </w:r>
      <w:r>
        <w:rPr>
          <w:rFonts w:ascii="Calibri" w:eastAsia="Times New Roman" w:hAnsi="Calibri" w:cs="Calibri"/>
          <w:u w:val="single"/>
          <w:lang w:eastAsia="en-US"/>
        </w:rPr>
        <w:t>formal resolution by the Board the</w:t>
      </w:r>
      <w:r w:rsidRPr="00E4120D">
        <w:rPr>
          <w:rFonts w:ascii="Calibri" w:eastAsia="Times New Roman" w:hAnsi="Calibri" w:cs="Calibri"/>
          <w:u w:val="single"/>
          <w:lang w:eastAsia="en-US"/>
        </w:rPr>
        <w:t xml:space="preserve"> auspice is invalid. </w:t>
      </w:r>
    </w:p>
    <w:p w14:paraId="61DCE634" w14:textId="77777777" w:rsidR="003E5025" w:rsidRPr="00E4120D" w:rsidRDefault="003E5025" w:rsidP="00E4120D">
      <w:pPr>
        <w:spacing w:after="0" w:line="240" w:lineRule="auto"/>
        <w:rPr>
          <w:rFonts w:ascii="Calibri" w:eastAsia="Times New Roman" w:hAnsi="Calibri" w:cs="Calibri"/>
          <w:b/>
          <w:bCs/>
          <w:lang w:eastAsia="en-US"/>
        </w:rPr>
      </w:pPr>
    </w:p>
    <w:p w14:paraId="3B01EC01" w14:textId="36159F40" w:rsidR="00E4120D" w:rsidRPr="00E4120D" w:rsidRDefault="006F6E47" w:rsidP="00E4120D">
      <w:pPr>
        <w:spacing w:after="0" w:line="240" w:lineRule="auto"/>
        <w:ind w:left="720" w:hanging="720"/>
        <w:rPr>
          <w:rFonts w:ascii="Calibri" w:eastAsia="Times New Roman" w:hAnsi="Calibri" w:cs="Calibri"/>
          <w:b/>
          <w:bCs/>
          <w:lang w:eastAsia="en-US"/>
        </w:rPr>
      </w:pPr>
      <w:sdt>
        <w:sdtPr>
          <w:rPr>
            <w:rFonts w:ascii="MS Gothic" w:eastAsia="MS Gothic" w:hAnsi="MS Gothic" w:cs="Calibri"/>
            <w:lang w:eastAsia="en-US"/>
          </w:rPr>
          <w:id w:val="1741056550"/>
          <w14:checkbox>
            <w14:checked w14:val="0"/>
            <w14:checkedState w14:val="2612" w14:font="MS Gothic"/>
            <w14:uncheckedState w14:val="2610" w14:font="MS Gothic"/>
          </w14:checkbox>
        </w:sdtPr>
        <w:sdtEndPr/>
        <w:sdtContent>
          <w:r w:rsidR="00E4120D">
            <w:rPr>
              <w:rFonts w:ascii="MS Gothic" w:eastAsia="MS Gothic" w:hAnsi="MS Gothic" w:cs="Calibri" w:hint="eastAsia"/>
              <w:lang w:eastAsia="en-US"/>
            </w:rPr>
            <w:t>☐</w:t>
          </w:r>
        </w:sdtContent>
      </w:sdt>
      <w:r w:rsidR="00E4120D" w:rsidRPr="00E4120D">
        <w:rPr>
          <w:rFonts w:ascii="Calibri" w:eastAsia="Times New Roman" w:hAnsi="Calibri" w:cs="Calibri"/>
          <w:lang w:eastAsia="en-US"/>
        </w:rPr>
        <w:t xml:space="preserve"> </w:t>
      </w:r>
      <w:r w:rsidR="00E4120D" w:rsidRPr="00E4120D">
        <w:rPr>
          <w:rFonts w:ascii="Calibri" w:eastAsia="Times New Roman" w:hAnsi="Calibri" w:cs="Calibri"/>
          <w:lang w:eastAsia="en-US"/>
        </w:rPr>
        <w:tab/>
      </w:r>
      <w:r w:rsidR="00E4120D" w:rsidRPr="00E4120D">
        <w:rPr>
          <w:rFonts w:ascii="Calibri" w:eastAsia="Times New Roman" w:hAnsi="Calibri" w:cs="Calibri"/>
          <w:b/>
          <w:bCs/>
          <w:lang w:eastAsia="en-US"/>
        </w:rPr>
        <w:t xml:space="preserve">Confirmation of auspice must be made in writing to the </w:t>
      </w:r>
      <w:r w:rsidR="00E4120D">
        <w:rPr>
          <w:rFonts w:ascii="Calibri" w:eastAsia="Times New Roman" w:hAnsi="Calibri" w:cs="Calibri"/>
          <w:b/>
          <w:bCs/>
          <w:lang w:eastAsia="en-US"/>
        </w:rPr>
        <w:t>VMIA</w:t>
      </w:r>
    </w:p>
    <w:p w14:paraId="5D6192E1" w14:textId="03801787" w:rsidR="003E5025" w:rsidRDefault="003E5025" w:rsidP="5A11B606">
      <w:pPr>
        <w:spacing w:after="0" w:line="240" w:lineRule="auto"/>
        <w:ind w:left="720"/>
        <w:rPr>
          <w:rFonts w:ascii="Calibri" w:eastAsia="Times New Roman" w:hAnsi="Calibri" w:cs="Calibri"/>
          <w:lang w:eastAsia="en-US"/>
        </w:rPr>
      </w:pPr>
      <w:r w:rsidRPr="5A11B606">
        <w:rPr>
          <w:rFonts w:ascii="Calibri" w:eastAsia="Times New Roman" w:hAnsi="Calibri" w:cs="Calibri"/>
          <w:lang w:eastAsia="en-US"/>
        </w:rPr>
        <w:t xml:space="preserve">The </w:t>
      </w:r>
      <w:r w:rsidR="00966919">
        <w:rPr>
          <w:rFonts w:ascii="Calibri" w:eastAsia="Times New Roman" w:hAnsi="Calibri" w:cs="Calibri"/>
          <w:lang w:eastAsia="en-US"/>
        </w:rPr>
        <w:t>N</w:t>
      </w:r>
      <w:r w:rsidRPr="5A11B606">
        <w:rPr>
          <w:rFonts w:ascii="Calibri" w:eastAsia="Times New Roman" w:hAnsi="Calibri" w:cs="Calibri"/>
          <w:lang w:eastAsia="en-US"/>
        </w:rPr>
        <w:t xml:space="preserve">eighbourhood </w:t>
      </w:r>
      <w:r w:rsidR="00966919">
        <w:rPr>
          <w:rFonts w:ascii="Calibri" w:eastAsia="Times New Roman" w:hAnsi="Calibri" w:cs="Calibri"/>
          <w:lang w:eastAsia="en-US"/>
        </w:rPr>
        <w:t>H</w:t>
      </w:r>
      <w:r w:rsidRPr="5A11B606">
        <w:rPr>
          <w:rFonts w:ascii="Calibri" w:eastAsia="Times New Roman" w:hAnsi="Calibri" w:cs="Calibri"/>
          <w:lang w:eastAsia="en-US"/>
        </w:rPr>
        <w:t xml:space="preserve">ouse must inform the VMIA that they have established the auspice, assumed responsibility and control for the group and this has been passed by resolution of the Board. </w:t>
      </w:r>
    </w:p>
    <w:p w14:paraId="7FEDE4A4" w14:textId="48D2B5A4" w:rsidR="00E4120D" w:rsidRPr="00E4120D" w:rsidRDefault="00E4120D" w:rsidP="00E4120D">
      <w:pPr>
        <w:spacing w:after="0" w:line="240" w:lineRule="auto"/>
        <w:ind w:firstLine="709"/>
        <w:rPr>
          <w:rFonts w:ascii="Calibri" w:eastAsia="Times New Roman" w:hAnsi="Calibri" w:cs="Calibri"/>
          <w:u w:val="single"/>
          <w:lang w:eastAsia="en-US"/>
        </w:rPr>
      </w:pPr>
      <w:r w:rsidRPr="00E4120D">
        <w:rPr>
          <w:rFonts w:ascii="Calibri" w:eastAsia="Times New Roman" w:hAnsi="Calibri" w:cs="Calibri"/>
          <w:u w:val="single"/>
          <w:lang w:eastAsia="en-US"/>
        </w:rPr>
        <w:t xml:space="preserve">Without </w:t>
      </w:r>
      <w:r>
        <w:rPr>
          <w:rFonts w:ascii="Calibri" w:eastAsia="Times New Roman" w:hAnsi="Calibri" w:cs="Calibri"/>
          <w:u w:val="single"/>
          <w:lang w:eastAsia="en-US"/>
        </w:rPr>
        <w:t>written confirmation to the VMIA the</w:t>
      </w:r>
      <w:r w:rsidRPr="00E4120D">
        <w:rPr>
          <w:rFonts w:ascii="Calibri" w:eastAsia="Times New Roman" w:hAnsi="Calibri" w:cs="Calibri"/>
          <w:u w:val="single"/>
          <w:lang w:eastAsia="en-US"/>
        </w:rPr>
        <w:t xml:space="preserve"> auspice is invalid. </w:t>
      </w:r>
    </w:p>
    <w:p w14:paraId="3AB34471" w14:textId="77777777" w:rsidR="00E4120D" w:rsidRPr="00E4120D" w:rsidRDefault="00E4120D" w:rsidP="00E4120D">
      <w:pPr>
        <w:spacing w:after="0" w:line="240" w:lineRule="auto"/>
        <w:rPr>
          <w:rFonts w:ascii="Calibri" w:eastAsia="Times New Roman" w:hAnsi="Calibri" w:cs="Calibri"/>
          <w:b/>
          <w:bCs/>
          <w:lang w:eastAsia="en-US"/>
        </w:rPr>
      </w:pPr>
    </w:p>
    <w:p w14:paraId="1DDDF641" w14:textId="4D7A1540" w:rsidR="0004375D" w:rsidRPr="00E4120D" w:rsidRDefault="00E4120D" w:rsidP="5A11B606">
      <w:pPr>
        <w:spacing w:after="0" w:line="240" w:lineRule="auto"/>
        <w:rPr>
          <w:rFonts w:ascii="Calibri" w:eastAsia="Times New Roman" w:hAnsi="Calibri" w:cs="Calibri"/>
          <w:lang w:eastAsia="en-US"/>
        </w:rPr>
      </w:pPr>
      <w:r w:rsidRPr="5A11B606">
        <w:rPr>
          <w:rFonts w:ascii="Calibri" w:eastAsia="Times New Roman" w:hAnsi="Calibri" w:cs="Calibri"/>
          <w:lang w:eastAsia="en-US"/>
        </w:rPr>
        <w:t>If an incident occurs within an unincorporated group and a claim is made through the VMIA, the VMIA will investigate the organisation's responsibility and control over the auspice arrangement to determine eligibility. It is crucial that members of the unincorporated group understand the insurance conditions and agree to the terms of coverage.</w:t>
      </w:r>
    </w:p>
    <w:sectPr w:rsidR="0004375D" w:rsidRPr="00E4120D">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5A86E" w14:textId="77777777" w:rsidR="006F6E47" w:rsidRDefault="006F6E47" w:rsidP="00604828">
      <w:pPr>
        <w:spacing w:after="0" w:line="240" w:lineRule="auto"/>
      </w:pPr>
      <w:r>
        <w:separator/>
      </w:r>
    </w:p>
  </w:endnote>
  <w:endnote w:type="continuationSeparator" w:id="0">
    <w:p w14:paraId="2FD311F7" w14:textId="77777777" w:rsidR="006F6E47" w:rsidRDefault="006F6E47" w:rsidP="00604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5112" w14:textId="77777777" w:rsidR="00436AF5" w:rsidRDefault="00436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E6429" w14:textId="77777777" w:rsidR="00604828" w:rsidRPr="0063718D" w:rsidRDefault="5A11B606" w:rsidP="5A11B606">
    <w:pPr>
      <w:pStyle w:val="Footer"/>
      <w:jc w:val="center"/>
      <w:rPr>
        <w:i/>
        <w:iCs/>
        <w:sz w:val="16"/>
        <w:szCs w:val="16"/>
      </w:rPr>
    </w:pPr>
    <w:bookmarkStart w:id="0" w:name="_Hlk187919912"/>
    <w:bookmarkStart w:id="1" w:name="_Hlk188432181"/>
    <w:bookmarkStart w:id="2" w:name="_Hlk188432182"/>
    <w:r w:rsidRPr="5A11B606">
      <w:rPr>
        <w:i/>
        <w:iCs/>
        <w:sz w:val="16"/>
        <w:szCs w:val="16"/>
      </w:rPr>
      <w:t>This document created with assistance from the Central Highlands Association of Neighbourhood Houses chanh.org.au</w:t>
    </w:r>
  </w:p>
  <w:bookmarkEnd w:id="0"/>
  <w:p w14:paraId="7B223508" w14:textId="46F0950D" w:rsidR="00604828" w:rsidRPr="00604828" w:rsidRDefault="00604828" w:rsidP="00604828">
    <w:pPr>
      <w:pStyle w:val="Footer"/>
      <w:jc w:val="center"/>
      <w:rPr>
        <w:rFonts w:ascii="Calibri" w:hAnsi="Calibri" w:cs="Calibri"/>
        <w:i/>
        <w:iCs/>
        <w:sz w:val="16"/>
        <w:szCs w:val="16"/>
      </w:rPr>
    </w:pPr>
    <w:r w:rsidRPr="00604828">
      <w:rPr>
        <w:rFonts w:ascii="Calibri" w:hAnsi="Calibri" w:cs="Calibri"/>
        <w:i/>
        <w:iCs/>
        <w:sz w:val="16"/>
        <w:szCs w:val="16"/>
      </w:rPr>
      <w:t xml:space="preserve">With thanks to </w:t>
    </w:r>
    <w:r>
      <w:rPr>
        <w:rFonts w:ascii="Calibri" w:hAnsi="Calibri" w:cs="Calibri"/>
        <w:i/>
        <w:iCs/>
        <w:sz w:val="16"/>
        <w:szCs w:val="16"/>
      </w:rPr>
      <w:t xml:space="preserve">the </w:t>
    </w:r>
    <w:r w:rsidRPr="00604828">
      <w:rPr>
        <w:rFonts w:ascii="Calibri" w:hAnsi="Calibri" w:cs="Calibri"/>
        <w:i/>
        <w:iCs/>
        <w:sz w:val="16"/>
        <w:szCs w:val="16"/>
      </w:rPr>
      <w:t>VMIA</w:t>
    </w:r>
    <w:bookmarkEnd w:id="1"/>
    <w:bookmarkEnd w:id="2"/>
    <w:r w:rsidR="00436AF5">
      <w:rPr>
        <w:rFonts w:ascii="Calibri" w:hAnsi="Calibri" w:cs="Calibri"/>
        <w:i/>
        <w:i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5E64B" w14:textId="77777777" w:rsidR="00436AF5" w:rsidRDefault="00436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34B3C" w14:textId="77777777" w:rsidR="006F6E47" w:rsidRDefault="006F6E47" w:rsidP="00604828">
      <w:pPr>
        <w:spacing w:after="0" w:line="240" w:lineRule="auto"/>
      </w:pPr>
      <w:r>
        <w:separator/>
      </w:r>
    </w:p>
  </w:footnote>
  <w:footnote w:type="continuationSeparator" w:id="0">
    <w:p w14:paraId="49C6FA8F" w14:textId="77777777" w:rsidR="006F6E47" w:rsidRDefault="006F6E47" w:rsidP="00604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85731" w14:textId="77777777" w:rsidR="00436AF5" w:rsidRDefault="00436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E8776" w14:textId="77777777" w:rsidR="00436AF5" w:rsidRDefault="00436A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4D53" w14:textId="77777777" w:rsidR="00436AF5" w:rsidRDefault="00436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78A"/>
    <w:multiLevelType w:val="hybridMultilevel"/>
    <w:tmpl w:val="B66AAD9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3344771D"/>
    <w:multiLevelType w:val="hybridMultilevel"/>
    <w:tmpl w:val="6B3662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9D02AFD"/>
    <w:multiLevelType w:val="hybridMultilevel"/>
    <w:tmpl w:val="B3F8C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ABD2687"/>
    <w:multiLevelType w:val="hybridMultilevel"/>
    <w:tmpl w:val="37F8AD9E"/>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79733C9"/>
    <w:multiLevelType w:val="hybridMultilevel"/>
    <w:tmpl w:val="D97E6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33B2111"/>
    <w:multiLevelType w:val="hybridMultilevel"/>
    <w:tmpl w:val="E108A0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36485231">
    <w:abstractNumId w:val="0"/>
  </w:num>
  <w:num w:numId="2" w16cid:durableId="949357233">
    <w:abstractNumId w:val="4"/>
  </w:num>
  <w:num w:numId="3" w16cid:durableId="864949533">
    <w:abstractNumId w:val="2"/>
  </w:num>
  <w:num w:numId="4" w16cid:durableId="1241065175">
    <w:abstractNumId w:val="1"/>
  </w:num>
  <w:num w:numId="5" w16cid:durableId="1419249997">
    <w:abstractNumId w:val="5"/>
  </w:num>
  <w:num w:numId="6" w16cid:durableId="19952526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24E"/>
    <w:rsid w:val="0004375D"/>
    <w:rsid w:val="001F4D13"/>
    <w:rsid w:val="0028747C"/>
    <w:rsid w:val="0031174A"/>
    <w:rsid w:val="003E5025"/>
    <w:rsid w:val="00436AF5"/>
    <w:rsid w:val="00593576"/>
    <w:rsid w:val="00604828"/>
    <w:rsid w:val="006E60F3"/>
    <w:rsid w:val="006F124E"/>
    <w:rsid w:val="006F6E47"/>
    <w:rsid w:val="00702159"/>
    <w:rsid w:val="00966919"/>
    <w:rsid w:val="00E4120D"/>
    <w:rsid w:val="00F253AB"/>
    <w:rsid w:val="5A11B6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ED40A"/>
  <w15:chartTrackingRefBased/>
  <w15:docId w15:val="{5448570D-1205-4186-A3E9-2039F1EB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24E"/>
    <w:rPr>
      <w:kern w:val="0"/>
      <w:lang w:eastAsia="en-AU"/>
      <w14:ligatures w14:val="none"/>
    </w:rPr>
  </w:style>
  <w:style w:type="paragraph" w:styleId="Heading1">
    <w:name w:val="heading 1"/>
    <w:basedOn w:val="Normal"/>
    <w:next w:val="Normal"/>
    <w:link w:val="Heading1Char"/>
    <w:uiPriority w:val="9"/>
    <w:qFormat/>
    <w:rsid w:val="006F12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2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2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2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2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2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2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2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2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2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2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2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2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2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2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2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2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24E"/>
    <w:rPr>
      <w:rFonts w:eastAsiaTheme="majorEastAsia" w:cstheme="majorBidi"/>
      <w:color w:val="272727" w:themeColor="text1" w:themeTint="D8"/>
    </w:rPr>
  </w:style>
  <w:style w:type="paragraph" w:styleId="Title">
    <w:name w:val="Title"/>
    <w:basedOn w:val="Normal"/>
    <w:next w:val="Normal"/>
    <w:link w:val="TitleChar"/>
    <w:uiPriority w:val="10"/>
    <w:qFormat/>
    <w:rsid w:val="006F1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2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2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2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24E"/>
    <w:pPr>
      <w:spacing w:before="160"/>
      <w:jc w:val="center"/>
    </w:pPr>
    <w:rPr>
      <w:i/>
      <w:iCs/>
      <w:color w:val="404040" w:themeColor="text1" w:themeTint="BF"/>
    </w:rPr>
  </w:style>
  <w:style w:type="character" w:customStyle="1" w:styleId="QuoteChar">
    <w:name w:val="Quote Char"/>
    <w:basedOn w:val="DefaultParagraphFont"/>
    <w:link w:val="Quote"/>
    <w:uiPriority w:val="29"/>
    <w:rsid w:val="006F124E"/>
    <w:rPr>
      <w:i/>
      <w:iCs/>
      <w:color w:val="404040" w:themeColor="text1" w:themeTint="BF"/>
    </w:rPr>
  </w:style>
  <w:style w:type="paragraph" w:styleId="ListParagraph">
    <w:name w:val="List Paragraph"/>
    <w:basedOn w:val="Normal"/>
    <w:uiPriority w:val="34"/>
    <w:qFormat/>
    <w:rsid w:val="006F124E"/>
    <w:pPr>
      <w:ind w:left="720"/>
      <w:contextualSpacing/>
    </w:pPr>
  </w:style>
  <w:style w:type="character" w:styleId="IntenseEmphasis">
    <w:name w:val="Intense Emphasis"/>
    <w:basedOn w:val="DefaultParagraphFont"/>
    <w:uiPriority w:val="21"/>
    <w:qFormat/>
    <w:rsid w:val="006F124E"/>
    <w:rPr>
      <w:i/>
      <w:iCs/>
      <w:color w:val="0F4761" w:themeColor="accent1" w:themeShade="BF"/>
    </w:rPr>
  </w:style>
  <w:style w:type="paragraph" w:styleId="IntenseQuote">
    <w:name w:val="Intense Quote"/>
    <w:basedOn w:val="Normal"/>
    <w:next w:val="Normal"/>
    <w:link w:val="IntenseQuoteChar"/>
    <w:uiPriority w:val="30"/>
    <w:qFormat/>
    <w:rsid w:val="006F12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24E"/>
    <w:rPr>
      <w:i/>
      <w:iCs/>
      <w:color w:val="0F4761" w:themeColor="accent1" w:themeShade="BF"/>
    </w:rPr>
  </w:style>
  <w:style w:type="character" w:styleId="IntenseReference">
    <w:name w:val="Intense Reference"/>
    <w:basedOn w:val="DefaultParagraphFont"/>
    <w:uiPriority w:val="32"/>
    <w:qFormat/>
    <w:rsid w:val="006F124E"/>
    <w:rPr>
      <w:b/>
      <w:bCs/>
      <w:smallCaps/>
      <w:color w:val="0F4761" w:themeColor="accent1" w:themeShade="BF"/>
      <w:spacing w:val="5"/>
    </w:rPr>
  </w:style>
  <w:style w:type="character" w:styleId="Hyperlink">
    <w:name w:val="Hyperlink"/>
    <w:basedOn w:val="DefaultParagraphFont"/>
    <w:uiPriority w:val="99"/>
    <w:unhideWhenUsed/>
    <w:rsid w:val="006F124E"/>
    <w:rPr>
      <w:color w:val="467886" w:themeColor="hyperlink"/>
      <w:u w:val="single"/>
    </w:rPr>
  </w:style>
  <w:style w:type="character" w:styleId="UnresolvedMention">
    <w:name w:val="Unresolved Mention"/>
    <w:basedOn w:val="DefaultParagraphFont"/>
    <w:uiPriority w:val="99"/>
    <w:semiHidden/>
    <w:unhideWhenUsed/>
    <w:rsid w:val="006F124E"/>
    <w:rPr>
      <w:color w:val="605E5C"/>
      <w:shd w:val="clear" w:color="auto" w:fill="E1DFDD"/>
    </w:rPr>
  </w:style>
  <w:style w:type="paragraph" w:styleId="Header">
    <w:name w:val="header"/>
    <w:basedOn w:val="Normal"/>
    <w:link w:val="HeaderChar"/>
    <w:uiPriority w:val="99"/>
    <w:unhideWhenUsed/>
    <w:rsid w:val="006048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828"/>
    <w:rPr>
      <w:kern w:val="0"/>
      <w:lang w:eastAsia="en-AU"/>
      <w14:ligatures w14:val="none"/>
    </w:rPr>
  </w:style>
  <w:style w:type="paragraph" w:styleId="Footer">
    <w:name w:val="footer"/>
    <w:basedOn w:val="Normal"/>
    <w:link w:val="FooterChar"/>
    <w:uiPriority w:val="99"/>
    <w:unhideWhenUsed/>
    <w:rsid w:val="006048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828"/>
    <w:rPr>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48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hrome-extension://efaidnbmnnnibpcajpcglclefindmkaj/https:/www.vmia.vic.gov.au/-/media/Internet/Content-Documents/Insure/CSO-program/CSO-Neighbourhood-Houses-quick-reference-guide-2024-2025.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chrome-extension://efaidnbmnnnibpcajpcglclefindmkaj/https:/www.vmia.vic.gov.au/-/media/Internet/Content-Documents/Insure/CSO-program/CSO-Insurance-Guide-2024-2025.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act@vmia.vic.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586FA49EEFB54795D79B5A5031448D" ma:contentTypeVersion="18" ma:contentTypeDescription="Create a new document." ma:contentTypeScope="" ma:versionID="f14c1285806b6d076881ec520013d52a">
  <xsd:schema xmlns:xsd="http://www.w3.org/2001/XMLSchema" xmlns:xs="http://www.w3.org/2001/XMLSchema" xmlns:p="http://schemas.microsoft.com/office/2006/metadata/properties" xmlns:ns3="dc5e06b0-0ec9-46eb-8742-43f3af7bab33" xmlns:ns4="87ee60e2-e5e4-4bdd-9c57-cd0fa0c938da" targetNamespace="http://schemas.microsoft.com/office/2006/metadata/properties" ma:root="true" ma:fieldsID="92e3daf4bf05f3f06ced0f0936b592dc" ns3:_="" ns4:_="">
    <xsd:import namespace="dc5e06b0-0ec9-46eb-8742-43f3af7bab33"/>
    <xsd:import namespace="87ee60e2-e5e4-4bdd-9c57-cd0fa0c938d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06b0-0ec9-46eb-8742-43f3af7bab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ee60e2-e5e4-4bdd-9c57-cd0fa0c938d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dc5e06b0-0ec9-46eb-8742-43f3af7bab3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87B53-82D6-46F5-9594-F7B4D85E9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06b0-0ec9-46eb-8742-43f3af7bab33"/>
    <ds:schemaRef ds:uri="87ee60e2-e5e4-4bdd-9c57-cd0fa0c93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2C31A-6FE5-4C0A-BE9A-3E7F8CC75EA1}">
  <ds:schemaRefs>
    <ds:schemaRef ds:uri="http://schemas.openxmlformats.org/officeDocument/2006/bibliography"/>
  </ds:schemaRefs>
</ds:datastoreItem>
</file>

<file path=customXml/itemProps3.xml><?xml version="1.0" encoding="utf-8"?>
<ds:datastoreItem xmlns:ds="http://schemas.openxmlformats.org/officeDocument/2006/customXml" ds:itemID="{16EB1C21-B046-4DAC-85A2-0B0CAB3562A6}">
  <ds:schemaRefs>
    <ds:schemaRef ds:uri="http://schemas.microsoft.com/office/2006/metadata/properties"/>
    <ds:schemaRef ds:uri="http://schemas.microsoft.com/office/infopath/2007/PartnerControls"/>
    <ds:schemaRef ds:uri="dc5e06b0-0ec9-46eb-8742-43f3af7bab33"/>
  </ds:schemaRefs>
</ds:datastoreItem>
</file>

<file path=customXml/itemProps4.xml><?xml version="1.0" encoding="utf-8"?>
<ds:datastoreItem xmlns:ds="http://schemas.openxmlformats.org/officeDocument/2006/customXml" ds:itemID="{161CAD67-BF47-46C2-B365-E65855E254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Grimwood</dc:creator>
  <cp:keywords/>
  <dc:description/>
  <cp:lastModifiedBy>Jane Grimwood</cp:lastModifiedBy>
  <cp:revision>6</cp:revision>
  <dcterms:created xsi:type="dcterms:W3CDTF">2025-01-21T22:54:00Z</dcterms:created>
  <dcterms:modified xsi:type="dcterms:W3CDTF">2025-07-10T02:37:00Z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0x01010027586FA49EEFB54795D79B5A5031448D</vt:lpwstr>
  </property>
</Properties>
</file>