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8F02" w14:textId="77777777" w:rsidR="00EC77DC" w:rsidRPr="00EC77DC" w:rsidRDefault="00EC77DC" w:rsidP="00EC77DC">
      <w:pPr>
        <w:spacing w:after="0" w:line="240" w:lineRule="auto"/>
        <w:contextualSpacing/>
        <w:jc w:val="right"/>
        <w:rPr>
          <w:rFonts w:ascii="Calibri Light" w:eastAsiaTheme="majorEastAsia" w:hAnsi="Calibri Light" w:cs="Calibri Light"/>
          <w:i/>
          <w:caps/>
          <w:color w:val="FF0000"/>
          <w:spacing w:val="-10"/>
          <w:sz w:val="44"/>
          <w:szCs w:val="72"/>
          <w:lang w:eastAsia="en-US"/>
        </w:rPr>
      </w:pPr>
      <w:r w:rsidRPr="00EC77DC">
        <w:rPr>
          <w:rFonts w:ascii="Calibri Light" w:eastAsiaTheme="majorEastAsia" w:hAnsi="Calibri Light" w:cs="Calibri Light"/>
          <w:i/>
          <w:caps/>
          <w:noProof/>
          <w:color w:val="FF0000"/>
          <w:spacing w:val="-10"/>
          <w:sz w:val="32"/>
          <w:szCs w:val="72"/>
        </w:rPr>
        <w:drawing>
          <wp:anchor distT="0" distB="0" distL="114300" distR="114300" simplePos="0" relativeHeight="251659264" behindDoc="1" locked="0" layoutInCell="1" allowOverlap="1" wp14:anchorId="67B2F2F2" wp14:editId="37FF714E">
            <wp:simplePos x="0" y="0"/>
            <wp:positionH relativeFrom="margin">
              <wp:align>left</wp:align>
            </wp:positionH>
            <wp:positionV relativeFrom="paragraph">
              <wp:posOffset>0</wp:posOffset>
            </wp:positionV>
            <wp:extent cx="771525" cy="771525"/>
            <wp:effectExtent l="0" t="0" r="9525" b="9525"/>
            <wp:wrapTight wrapText="bothSides">
              <wp:wrapPolygon edited="0">
                <wp:start x="0" y="0"/>
                <wp:lineTo x="0" y="21333"/>
                <wp:lineTo x="21333" y="21333"/>
                <wp:lineTo x="21333" y="0"/>
                <wp:lineTo x="0" y="0"/>
              </wp:wrapPolygon>
            </wp:wrapTight>
            <wp:docPr id="2" name="Picture 2" descr="A whit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square with black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Pr="00EC77DC">
        <w:rPr>
          <w:rFonts w:ascii="Calibri Light" w:eastAsiaTheme="majorEastAsia" w:hAnsi="Calibri Light" w:cs="Calibri Light"/>
          <w:i/>
          <w:caps/>
          <w:color w:val="FF0000"/>
          <w:spacing w:val="-10"/>
          <w:sz w:val="32"/>
          <w:szCs w:val="72"/>
          <w:lang w:eastAsia="en-US"/>
        </w:rPr>
        <w:t>[Your organisation]</w:t>
      </w:r>
    </w:p>
    <w:p w14:paraId="64D1245A" w14:textId="2D95DA8C" w:rsidR="00EC77DC" w:rsidRPr="00EC77DC" w:rsidRDefault="00645447" w:rsidP="00EC77DC">
      <w:pPr>
        <w:spacing w:after="0" w:line="240" w:lineRule="auto"/>
        <w:contextualSpacing/>
        <w:jc w:val="right"/>
        <w:rPr>
          <w:rFonts w:ascii="Calibri Light" w:eastAsiaTheme="majorEastAsia" w:hAnsi="Calibri Light" w:cs="Calibri Light"/>
          <w:caps/>
          <w:color w:val="404040" w:themeColor="text1" w:themeTint="BF"/>
          <w:spacing w:val="-10"/>
          <w:sz w:val="72"/>
          <w:szCs w:val="72"/>
          <w:lang w:eastAsia="en-US"/>
        </w:rPr>
      </w:pPr>
      <w:r>
        <w:rPr>
          <w:rFonts w:ascii="Calibri Light" w:eastAsiaTheme="majorEastAsia" w:hAnsi="Calibri Light" w:cs="Calibri Light"/>
          <w:caps/>
          <w:color w:val="404040" w:themeColor="text1" w:themeTint="BF"/>
          <w:spacing w:val="-10"/>
          <w:sz w:val="72"/>
          <w:szCs w:val="72"/>
          <w:lang w:eastAsia="en-US"/>
        </w:rPr>
        <w:t>Portable Long Service Leave</w:t>
      </w:r>
    </w:p>
    <w:p w14:paraId="466C8EBA" w14:textId="77777777" w:rsidR="00EC77DC" w:rsidRPr="00EC77DC" w:rsidRDefault="00EC77DC" w:rsidP="00EC77DC">
      <w:pPr>
        <w:spacing w:after="0" w:line="240" w:lineRule="auto"/>
        <w:rPr>
          <w:rFonts w:ascii="Calibri" w:eastAsia="Times New Roman" w:hAnsi="Calibri" w:cs="Calibri"/>
          <w:lang w:eastAsia="en-US"/>
        </w:rPr>
      </w:pPr>
    </w:p>
    <w:p w14:paraId="3B6972D4" w14:textId="77777777" w:rsidR="00645447" w:rsidRDefault="00645447" w:rsidP="00645447">
      <w:pPr>
        <w:spacing w:after="0" w:line="240" w:lineRule="auto"/>
        <w:rPr>
          <w:rFonts w:ascii="Calibri" w:eastAsia="Times New Roman" w:hAnsi="Calibri" w:cs="Calibri"/>
          <w:lang w:eastAsia="en-US"/>
        </w:rPr>
      </w:pPr>
      <w:r w:rsidRPr="00645447">
        <w:rPr>
          <w:rFonts w:ascii="Calibri" w:eastAsia="Times New Roman" w:hAnsi="Calibri" w:cs="Calibri"/>
          <w:lang w:eastAsia="en-US"/>
        </w:rPr>
        <w:t xml:space="preserve">Portable Long Service Leave (PLSL) is a Victorian Government scheme that allows eligible workers in the community services sector to build up long service leave benefits as they move between employers within the sector. Instead of accruing leave with one employer only, workers can carry their service with them throughout their community services career. </w:t>
      </w:r>
    </w:p>
    <w:p w14:paraId="27D9BF13" w14:textId="77777777" w:rsidR="00645447" w:rsidRDefault="00645447" w:rsidP="00645447">
      <w:pPr>
        <w:spacing w:after="0" w:line="240" w:lineRule="auto"/>
        <w:rPr>
          <w:rFonts w:ascii="Calibri" w:eastAsia="Times New Roman" w:hAnsi="Calibri" w:cs="Calibri"/>
          <w:lang w:eastAsia="en-US"/>
        </w:rPr>
      </w:pPr>
    </w:p>
    <w:p w14:paraId="194E50C4" w14:textId="72382A0C" w:rsidR="00645447" w:rsidRPr="00645447" w:rsidRDefault="00645447" w:rsidP="00645447">
      <w:pPr>
        <w:spacing w:after="0" w:line="240" w:lineRule="auto"/>
        <w:rPr>
          <w:rFonts w:ascii="Calibri" w:eastAsia="Times New Roman" w:hAnsi="Calibri" w:cs="Calibri"/>
          <w:lang w:eastAsia="en-US"/>
        </w:rPr>
      </w:pPr>
      <w:r w:rsidRPr="00645447">
        <w:rPr>
          <w:rFonts w:ascii="Calibri" w:eastAsia="Times New Roman" w:hAnsi="Calibri" w:cs="Calibri"/>
          <w:lang w:eastAsia="en-US"/>
        </w:rPr>
        <w:t xml:space="preserve">Neighbourhood Houses are required to participate in the scheme as part of the community services sector. The scheme sits alongside normal long service leave arrangements and does not replace an employer's obligations under the Long Service Leave Act or applicable industrial instruments. </w:t>
      </w:r>
    </w:p>
    <w:p w14:paraId="604C4A3A" w14:textId="77777777" w:rsidR="00EC77DC" w:rsidRPr="00C53BFD" w:rsidRDefault="00EC77DC" w:rsidP="007D1909">
      <w:pPr>
        <w:spacing w:after="0" w:line="240" w:lineRule="auto"/>
        <w:ind w:left="360"/>
        <w:rPr>
          <w:rFonts w:ascii="Calibri" w:eastAsia="Times New Roman" w:hAnsi="Calibri" w:cs="Calibri"/>
          <w:lang w:eastAsia="en-US"/>
        </w:rPr>
      </w:pPr>
    </w:p>
    <w:p w14:paraId="22FF860D" w14:textId="77777777" w:rsidR="00953C6D" w:rsidRPr="00953C6D" w:rsidRDefault="00953C6D" w:rsidP="00953C6D">
      <w:pPr>
        <w:spacing w:after="0" w:line="240" w:lineRule="auto"/>
        <w:rPr>
          <w:rFonts w:ascii="Calibri" w:eastAsia="Times New Roman" w:hAnsi="Calibri" w:cs="Calibri"/>
          <w:b/>
          <w:bCs/>
          <w:lang w:eastAsia="en-US"/>
        </w:rPr>
      </w:pPr>
      <w:r w:rsidRPr="00953C6D">
        <w:rPr>
          <w:rFonts w:ascii="Calibri" w:eastAsia="Times New Roman" w:hAnsi="Calibri" w:cs="Calibri"/>
          <w:b/>
          <w:bCs/>
          <w:lang w:eastAsia="en-US"/>
        </w:rPr>
        <w:t>Employer Responsibilities</w:t>
      </w:r>
    </w:p>
    <w:p w14:paraId="1A395AD7" w14:textId="77777777" w:rsidR="00451A05" w:rsidRDefault="00451A05" w:rsidP="00953C6D">
      <w:pPr>
        <w:spacing w:after="0" w:line="240" w:lineRule="auto"/>
        <w:rPr>
          <w:rFonts w:ascii="Calibri" w:eastAsia="Times New Roman" w:hAnsi="Calibri" w:cs="Calibri"/>
          <w:lang w:eastAsia="en-US"/>
        </w:rPr>
      </w:pPr>
    </w:p>
    <w:p w14:paraId="3FC6680F" w14:textId="6FB1FCBA" w:rsidR="00953C6D" w:rsidRPr="00953C6D" w:rsidRDefault="00953C6D" w:rsidP="00953C6D">
      <w:pPr>
        <w:spacing w:after="0" w:line="240" w:lineRule="auto"/>
        <w:rPr>
          <w:rFonts w:ascii="Calibri" w:eastAsia="Times New Roman" w:hAnsi="Calibri" w:cs="Calibri"/>
          <w:lang w:eastAsia="en-US"/>
        </w:rPr>
      </w:pPr>
      <w:r w:rsidRPr="00953C6D">
        <w:rPr>
          <w:rFonts w:ascii="Calibri" w:eastAsia="Times New Roman" w:hAnsi="Calibri" w:cs="Calibri"/>
          <w:lang w:eastAsia="en-US"/>
        </w:rPr>
        <w:t>Neighbourhood Houses must:</w:t>
      </w:r>
    </w:p>
    <w:p w14:paraId="3992CEEE" w14:textId="77777777" w:rsidR="00953C6D" w:rsidRPr="00953C6D" w:rsidRDefault="00953C6D" w:rsidP="00953C6D">
      <w:pPr>
        <w:numPr>
          <w:ilvl w:val="0"/>
          <w:numId w:val="18"/>
        </w:numPr>
        <w:spacing w:after="0" w:line="240" w:lineRule="auto"/>
        <w:rPr>
          <w:rFonts w:ascii="Calibri" w:eastAsia="Times New Roman" w:hAnsi="Calibri" w:cs="Calibri"/>
          <w:lang w:eastAsia="en-US"/>
        </w:rPr>
      </w:pPr>
      <w:r w:rsidRPr="00953C6D">
        <w:rPr>
          <w:rFonts w:ascii="Calibri" w:eastAsia="Times New Roman" w:hAnsi="Calibri" w:cs="Calibri"/>
          <w:lang w:eastAsia="en-US"/>
        </w:rPr>
        <w:t>Register with the Portable Long Service Authority (PLSA).</w:t>
      </w:r>
    </w:p>
    <w:p w14:paraId="5019653D" w14:textId="77777777" w:rsidR="00953C6D" w:rsidRPr="00953C6D" w:rsidRDefault="00953C6D" w:rsidP="00953C6D">
      <w:pPr>
        <w:numPr>
          <w:ilvl w:val="0"/>
          <w:numId w:val="18"/>
        </w:numPr>
        <w:spacing w:after="0" w:line="240" w:lineRule="auto"/>
        <w:rPr>
          <w:rFonts w:ascii="Calibri" w:eastAsia="Times New Roman" w:hAnsi="Calibri" w:cs="Calibri"/>
          <w:lang w:eastAsia="en-US"/>
        </w:rPr>
      </w:pPr>
      <w:r w:rsidRPr="00953C6D">
        <w:rPr>
          <w:rFonts w:ascii="Calibri" w:eastAsia="Times New Roman" w:hAnsi="Calibri" w:cs="Calibri"/>
          <w:lang w:eastAsia="en-US"/>
        </w:rPr>
        <w:t>Register eligible employees.</w:t>
      </w:r>
    </w:p>
    <w:p w14:paraId="794DBAC2" w14:textId="77777777" w:rsidR="00953C6D" w:rsidRPr="00953C6D" w:rsidRDefault="00953C6D" w:rsidP="00953C6D">
      <w:pPr>
        <w:numPr>
          <w:ilvl w:val="0"/>
          <w:numId w:val="18"/>
        </w:numPr>
        <w:spacing w:after="0" w:line="240" w:lineRule="auto"/>
        <w:rPr>
          <w:rFonts w:ascii="Calibri" w:eastAsia="Times New Roman" w:hAnsi="Calibri" w:cs="Calibri"/>
          <w:lang w:eastAsia="en-US"/>
        </w:rPr>
      </w:pPr>
      <w:r w:rsidRPr="00953C6D">
        <w:rPr>
          <w:rFonts w:ascii="Calibri" w:eastAsia="Times New Roman" w:hAnsi="Calibri" w:cs="Calibri"/>
          <w:lang w:eastAsia="en-US"/>
        </w:rPr>
        <w:t>Submit quarterly returns.</w:t>
      </w:r>
    </w:p>
    <w:p w14:paraId="3602B05E" w14:textId="77777777" w:rsidR="00953C6D" w:rsidRPr="00953C6D" w:rsidRDefault="00953C6D" w:rsidP="00953C6D">
      <w:pPr>
        <w:numPr>
          <w:ilvl w:val="0"/>
          <w:numId w:val="18"/>
        </w:numPr>
        <w:spacing w:after="0" w:line="240" w:lineRule="auto"/>
        <w:rPr>
          <w:rFonts w:ascii="Calibri" w:eastAsia="Times New Roman" w:hAnsi="Calibri" w:cs="Calibri"/>
          <w:lang w:eastAsia="en-US"/>
        </w:rPr>
      </w:pPr>
      <w:r w:rsidRPr="00953C6D">
        <w:rPr>
          <w:rFonts w:ascii="Calibri" w:eastAsia="Times New Roman" w:hAnsi="Calibri" w:cs="Calibri"/>
          <w:lang w:eastAsia="en-US"/>
        </w:rPr>
        <w:t>Pay the required levy on behalf of eligible workers.</w:t>
      </w:r>
    </w:p>
    <w:p w14:paraId="2034E4C9" w14:textId="77777777" w:rsidR="00953C6D" w:rsidRPr="00953C6D" w:rsidRDefault="00953C6D" w:rsidP="00953C6D">
      <w:pPr>
        <w:numPr>
          <w:ilvl w:val="0"/>
          <w:numId w:val="18"/>
        </w:numPr>
        <w:spacing w:after="0" w:line="240" w:lineRule="auto"/>
        <w:rPr>
          <w:rFonts w:ascii="Calibri" w:eastAsia="Times New Roman" w:hAnsi="Calibri" w:cs="Calibri"/>
          <w:lang w:eastAsia="en-US"/>
        </w:rPr>
      </w:pPr>
      <w:r w:rsidRPr="00953C6D">
        <w:rPr>
          <w:rFonts w:ascii="Calibri" w:eastAsia="Times New Roman" w:hAnsi="Calibri" w:cs="Calibri"/>
          <w:lang w:eastAsia="en-US"/>
        </w:rPr>
        <w:t>Maintain accurate employment and payroll records.</w:t>
      </w:r>
    </w:p>
    <w:p w14:paraId="3B8D3849" w14:textId="77777777" w:rsidR="00FC1B12" w:rsidRDefault="00FC1B12" w:rsidP="00FC1B12">
      <w:pPr>
        <w:spacing w:after="0" w:line="240" w:lineRule="auto"/>
        <w:rPr>
          <w:b/>
          <w:bCs/>
        </w:rPr>
      </w:pPr>
    </w:p>
    <w:p w14:paraId="23563746" w14:textId="18778099" w:rsidR="00FC1B12" w:rsidRPr="00FC1B12" w:rsidRDefault="00FC1B12" w:rsidP="00FC1B12">
      <w:pPr>
        <w:spacing w:after="0" w:line="240" w:lineRule="auto"/>
        <w:rPr>
          <w:b/>
          <w:bCs/>
        </w:rPr>
      </w:pPr>
      <w:r w:rsidRPr="00FC1B12">
        <w:rPr>
          <w:b/>
          <w:bCs/>
        </w:rPr>
        <w:t>Important: Not Every Position May Be Covered</w:t>
      </w:r>
    </w:p>
    <w:p w14:paraId="4780CEC2" w14:textId="77777777" w:rsidR="00FC1B12" w:rsidRDefault="00FC1B12" w:rsidP="00FC1B12">
      <w:pPr>
        <w:spacing w:after="0" w:line="240" w:lineRule="auto"/>
      </w:pPr>
    </w:p>
    <w:p w14:paraId="3D934921" w14:textId="33B52608" w:rsidR="00FC1B12" w:rsidRDefault="00FC1B12" w:rsidP="00FC1B12">
      <w:pPr>
        <w:spacing w:after="0" w:line="240" w:lineRule="auto"/>
      </w:pPr>
      <w:r>
        <w:t xml:space="preserve">While Neighbourhood Houses are required to participate in the Portable Long Service Leave Scheme, there are circumstances where </w:t>
      </w:r>
      <w:proofErr w:type="gramStart"/>
      <w:r>
        <w:t>particular positions</w:t>
      </w:r>
      <w:proofErr w:type="gramEnd"/>
      <w:r>
        <w:t xml:space="preserve"> may not be covered.</w:t>
      </w:r>
    </w:p>
    <w:p w14:paraId="1EFE2156" w14:textId="77777777" w:rsidR="00FC1B12" w:rsidRDefault="00FC1B12" w:rsidP="00FC1B12">
      <w:pPr>
        <w:spacing w:after="0" w:line="240" w:lineRule="auto"/>
      </w:pPr>
    </w:p>
    <w:p w14:paraId="56694284" w14:textId="4ECA0C30" w:rsidR="00FC1B12" w:rsidRDefault="00FC1B12" w:rsidP="00FC1B12">
      <w:pPr>
        <w:spacing w:after="0" w:line="240" w:lineRule="auto"/>
      </w:pPr>
      <w:r>
        <w:t>For example, some Neighbourhood Houses have been advised that employees engaged under Schedule 3A</w:t>
      </w:r>
      <w:r w:rsidR="00D01DB5">
        <w:t xml:space="preserve"> (education)</w:t>
      </w:r>
      <w:r>
        <w:t xml:space="preserve"> and Schedule 3D</w:t>
      </w:r>
      <w:r w:rsidR="00D01DB5">
        <w:t xml:space="preserve"> (childcare)</w:t>
      </w:r>
      <w:r>
        <w:t xml:space="preserve"> of the Neighbourhood Houses and Adult Community Education Agreement (NHACE) may not be covered by the scheme. Similarly, some Houses have received advice that tutors employed under the Educational Services Award are not required to have Portable Long Service Leave contributions paid on their behalf.</w:t>
      </w:r>
    </w:p>
    <w:p w14:paraId="53632297" w14:textId="77777777" w:rsidR="00FC1B12" w:rsidRDefault="00FC1B12" w:rsidP="00FC1B12">
      <w:pPr>
        <w:spacing w:after="0" w:line="240" w:lineRule="auto"/>
      </w:pPr>
    </w:p>
    <w:p w14:paraId="1F299F64" w14:textId="77777777" w:rsidR="00FC1B12" w:rsidRDefault="00FC1B12" w:rsidP="00FC1B12">
      <w:pPr>
        <w:spacing w:after="0" w:line="240" w:lineRule="auto"/>
      </w:pPr>
      <w:r>
        <w:t xml:space="preserve">As coverage is determined by the nature of the work and the applicable industrial instrument, </w:t>
      </w:r>
      <w:r w:rsidRPr="00064F94">
        <w:rPr>
          <w:b/>
          <w:bCs/>
          <w:i/>
          <w:iCs/>
        </w:rPr>
        <w:t>Neighbourhood Houses should not make assumptions about eligibility</w:t>
      </w:r>
      <w:r>
        <w:t>.</w:t>
      </w:r>
    </w:p>
    <w:p w14:paraId="45667C2F" w14:textId="77777777" w:rsidR="00FC1B12" w:rsidRDefault="00FC1B12" w:rsidP="00FC1B12">
      <w:pPr>
        <w:spacing w:after="0" w:line="240" w:lineRule="auto"/>
      </w:pPr>
    </w:p>
    <w:p w14:paraId="1AD48636" w14:textId="77777777" w:rsidR="00FC1B12" w:rsidRDefault="00FC1B12" w:rsidP="00FC1B12">
      <w:pPr>
        <w:spacing w:after="0" w:line="240" w:lineRule="auto"/>
      </w:pPr>
      <w:r>
        <w:t>If your House employs staff under Schedule 3A or Schedule 3D, or if coverage is otherwise unclear:</w:t>
      </w:r>
    </w:p>
    <w:p w14:paraId="662D9903" w14:textId="694C4B5D" w:rsidR="00FC1B12" w:rsidRDefault="00FC1B12" w:rsidP="00FC1B12">
      <w:pPr>
        <w:pStyle w:val="ListParagraph"/>
        <w:numPr>
          <w:ilvl w:val="0"/>
          <w:numId w:val="19"/>
        </w:numPr>
        <w:spacing w:after="0" w:line="240" w:lineRule="auto"/>
      </w:pPr>
      <w:r>
        <w:t>Contact the Portable Long Service Authority (PLSA) and seek written advice.</w:t>
      </w:r>
    </w:p>
    <w:p w14:paraId="7E53E84B" w14:textId="27AC719C" w:rsidR="00FC1B12" w:rsidRDefault="00FC1B12" w:rsidP="00FC1B12">
      <w:pPr>
        <w:pStyle w:val="ListParagraph"/>
        <w:numPr>
          <w:ilvl w:val="0"/>
          <w:numId w:val="19"/>
        </w:numPr>
        <w:spacing w:after="0" w:line="240" w:lineRule="auto"/>
      </w:pPr>
      <w:r>
        <w:t>Keep a copy of the advice for your records.</w:t>
      </w:r>
    </w:p>
    <w:p w14:paraId="74038E23" w14:textId="1C838098" w:rsidR="00FC1B12" w:rsidRDefault="00FC1B12" w:rsidP="00FC1B12">
      <w:pPr>
        <w:pStyle w:val="ListParagraph"/>
        <w:numPr>
          <w:ilvl w:val="0"/>
          <w:numId w:val="19"/>
        </w:numPr>
        <w:spacing w:after="0" w:line="240" w:lineRule="auto"/>
      </w:pPr>
      <w:r>
        <w:t>Verify coverage requirements before submitting contributions for those positions.</w:t>
      </w:r>
    </w:p>
    <w:p w14:paraId="4770CF86" w14:textId="33735583" w:rsidR="00FC1B12" w:rsidRDefault="00FC1B12" w:rsidP="00FC1B12">
      <w:pPr>
        <w:pStyle w:val="ListParagraph"/>
        <w:numPr>
          <w:ilvl w:val="0"/>
          <w:numId w:val="19"/>
        </w:numPr>
        <w:spacing w:after="0" w:line="240" w:lineRule="auto"/>
      </w:pPr>
      <w:r>
        <w:t>Review your payroll settings to ensure contributions are only being paid where required.</w:t>
      </w:r>
    </w:p>
    <w:p w14:paraId="3FB2F54E" w14:textId="77777777" w:rsidR="00454D2C" w:rsidRDefault="00454D2C" w:rsidP="00FC1B12">
      <w:pPr>
        <w:spacing w:after="0" w:line="240" w:lineRule="auto"/>
      </w:pPr>
    </w:p>
    <w:p w14:paraId="3644FA7D" w14:textId="2DC3F04E" w:rsidR="00EC77DC" w:rsidRDefault="00FC1B12" w:rsidP="00FC1B12">
      <w:pPr>
        <w:spacing w:after="0" w:line="240" w:lineRule="auto"/>
      </w:pPr>
      <w:r>
        <w:t>The Portable Long Service Authority is the appropriate body to determine scheme coverage and can provide advice specific to your circumstances.</w:t>
      </w:r>
      <w:r w:rsidR="002D3840">
        <w:t xml:space="preserve"> Consider awaiting a response before submitting payment</w:t>
      </w:r>
      <w:r w:rsidR="00967BDA">
        <w:t xml:space="preserve"> where clarity is required. </w:t>
      </w:r>
    </w:p>
    <w:p w14:paraId="01E6312A" w14:textId="77777777" w:rsidR="00454D2C" w:rsidRDefault="00454D2C" w:rsidP="00FC1B12">
      <w:pPr>
        <w:spacing w:after="0" w:line="240" w:lineRule="auto"/>
      </w:pPr>
    </w:p>
    <w:p w14:paraId="42E3F59F" w14:textId="77777777" w:rsidR="00454D2C" w:rsidRDefault="00454D2C" w:rsidP="00454D2C">
      <w:pPr>
        <w:spacing w:after="0" w:line="240" w:lineRule="auto"/>
        <w:rPr>
          <w:b/>
          <w:bCs/>
        </w:rPr>
      </w:pPr>
      <w:r w:rsidRPr="00454D2C">
        <w:rPr>
          <w:b/>
          <w:bCs/>
        </w:rPr>
        <w:t>Understanding the Financial Impact</w:t>
      </w:r>
    </w:p>
    <w:p w14:paraId="071D8E9A" w14:textId="77777777" w:rsidR="00454D2C" w:rsidRPr="00454D2C" w:rsidRDefault="00454D2C" w:rsidP="00454D2C">
      <w:pPr>
        <w:spacing w:after="0" w:line="240" w:lineRule="auto"/>
        <w:rPr>
          <w:b/>
          <w:bCs/>
        </w:rPr>
      </w:pPr>
    </w:p>
    <w:p w14:paraId="3E52B1AC" w14:textId="77777777" w:rsidR="00454D2C" w:rsidRDefault="00454D2C" w:rsidP="00454D2C">
      <w:pPr>
        <w:spacing w:after="0" w:line="240" w:lineRule="auto"/>
      </w:pPr>
      <w:r w:rsidRPr="00454D2C">
        <w:t>A common misunderstanding is that paying the PLSL levy eliminates a Neighbourhood House's long service leave liability.</w:t>
      </w:r>
    </w:p>
    <w:p w14:paraId="1E216765" w14:textId="77777777" w:rsidR="00454D2C" w:rsidRPr="00454D2C" w:rsidRDefault="00454D2C" w:rsidP="00454D2C">
      <w:pPr>
        <w:spacing w:after="0" w:line="240" w:lineRule="auto"/>
      </w:pPr>
    </w:p>
    <w:p w14:paraId="0576F652" w14:textId="77777777" w:rsidR="00454D2C" w:rsidRPr="00454D2C" w:rsidRDefault="00454D2C" w:rsidP="00454D2C">
      <w:pPr>
        <w:spacing w:after="0" w:line="240" w:lineRule="auto"/>
      </w:pPr>
      <w:r w:rsidRPr="00454D2C">
        <w:rPr>
          <w:b/>
          <w:bCs/>
        </w:rPr>
        <w:t>This is not the case.</w:t>
      </w:r>
    </w:p>
    <w:p w14:paraId="42FC007B" w14:textId="77777777" w:rsidR="00454D2C" w:rsidRDefault="00454D2C" w:rsidP="00454D2C">
      <w:pPr>
        <w:spacing w:after="0" w:line="240" w:lineRule="auto"/>
      </w:pPr>
    </w:p>
    <w:p w14:paraId="3FD44B4E" w14:textId="0288539B" w:rsidR="00454D2C" w:rsidRPr="00454D2C" w:rsidRDefault="00454D2C" w:rsidP="00454D2C">
      <w:pPr>
        <w:spacing w:after="0" w:line="240" w:lineRule="auto"/>
      </w:pPr>
      <w:r w:rsidRPr="00454D2C">
        <w:t>The Portable Long Service Leave contribution only funds a portion of a worker's future long service leave entitlement. As a result:</w:t>
      </w:r>
    </w:p>
    <w:p w14:paraId="4E59CCEC" w14:textId="77777777" w:rsidR="00454D2C" w:rsidRPr="00454D2C" w:rsidRDefault="00454D2C" w:rsidP="00454D2C">
      <w:pPr>
        <w:numPr>
          <w:ilvl w:val="0"/>
          <w:numId w:val="20"/>
        </w:numPr>
        <w:spacing w:after="0" w:line="240" w:lineRule="auto"/>
      </w:pPr>
      <w:r w:rsidRPr="00454D2C">
        <w:t>Organisations must continue to recognise and manage long service leave liabilities in their financial records.</w:t>
      </w:r>
    </w:p>
    <w:p w14:paraId="66174E8D" w14:textId="77777777" w:rsidR="00454D2C" w:rsidRPr="00454D2C" w:rsidRDefault="00454D2C" w:rsidP="00454D2C">
      <w:pPr>
        <w:numPr>
          <w:ilvl w:val="0"/>
          <w:numId w:val="20"/>
        </w:numPr>
        <w:spacing w:after="0" w:line="240" w:lineRule="auto"/>
      </w:pPr>
      <w:r w:rsidRPr="00454D2C">
        <w:t>Staff may move into a Neighbourhood House with existing recognised service in the sector.</w:t>
      </w:r>
    </w:p>
    <w:p w14:paraId="272D68BE" w14:textId="77777777" w:rsidR="00454D2C" w:rsidRPr="00454D2C" w:rsidRDefault="00454D2C" w:rsidP="00454D2C">
      <w:pPr>
        <w:numPr>
          <w:ilvl w:val="0"/>
          <w:numId w:val="20"/>
        </w:numPr>
        <w:spacing w:after="0" w:line="240" w:lineRule="auto"/>
      </w:pPr>
      <w:r w:rsidRPr="00454D2C">
        <w:t>A worker may become entitled to long service leave during their employment with your organisation even though much of their service was accrued elsewhere.</w:t>
      </w:r>
    </w:p>
    <w:p w14:paraId="1417FB9F" w14:textId="77777777" w:rsidR="00454D2C" w:rsidRPr="00454D2C" w:rsidRDefault="00454D2C" w:rsidP="00454D2C">
      <w:pPr>
        <w:numPr>
          <w:ilvl w:val="0"/>
          <w:numId w:val="20"/>
        </w:numPr>
        <w:spacing w:after="0" w:line="240" w:lineRule="auto"/>
      </w:pPr>
      <w:r w:rsidRPr="00454D2C">
        <w:t>The Neighbourhood House may still be responsible for making long service leave payments to eligible employees, with reimbursement arrangements operating separately through the scheme.</w:t>
      </w:r>
    </w:p>
    <w:p w14:paraId="43AC65F3" w14:textId="77777777" w:rsidR="00454D2C" w:rsidRDefault="00454D2C" w:rsidP="00FC1B12">
      <w:pPr>
        <w:spacing w:after="0" w:line="240" w:lineRule="auto"/>
      </w:pPr>
    </w:p>
    <w:p w14:paraId="41437B8D" w14:textId="61F7D13D" w:rsidR="00E96453" w:rsidRDefault="00E96453" w:rsidP="00E96453">
      <w:pPr>
        <w:spacing w:after="0" w:line="240" w:lineRule="auto"/>
        <w:rPr>
          <w:b/>
          <w:bCs/>
        </w:rPr>
      </w:pPr>
      <w:r w:rsidRPr="00E96453">
        <w:rPr>
          <w:b/>
          <w:bCs/>
        </w:rPr>
        <w:t>What Now?</w:t>
      </w:r>
    </w:p>
    <w:p w14:paraId="5C123A17" w14:textId="77777777" w:rsidR="00064F94" w:rsidRPr="00E96453" w:rsidRDefault="00064F94" w:rsidP="00E96453">
      <w:pPr>
        <w:spacing w:after="0" w:line="240" w:lineRule="auto"/>
        <w:rPr>
          <w:b/>
          <w:bCs/>
        </w:rPr>
      </w:pPr>
    </w:p>
    <w:p w14:paraId="54E7AB56" w14:textId="5A5B0E6E" w:rsidR="00E96453" w:rsidRPr="00E96453" w:rsidRDefault="00E96453" w:rsidP="00E96453">
      <w:pPr>
        <w:spacing w:after="0" w:line="240" w:lineRule="auto"/>
      </w:pPr>
      <w:sdt>
        <w:sdtPr>
          <w:id w:val="-1567107184"/>
          <w14:checkbox>
            <w14:checked w14:val="0"/>
            <w14:checkedState w14:val="2612" w14:font="MS Gothic"/>
            <w14:uncheckedState w14:val="2610" w14:font="MS Gothic"/>
          </w14:checkbox>
        </w:sdtPr>
        <w:sdtContent>
          <w:r>
            <w:rPr>
              <w:rFonts w:ascii="MS Gothic" w:eastAsia="MS Gothic" w:hAnsi="MS Gothic" w:hint="eastAsia"/>
            </w:rPr>
            <w:t>☐</w:t>
          </w:r>
        </w:sdtContent>
      </w:sdt>
      <w:r w:rsidRPr="00E96453">
        <w:t xml:space="preserve"> </w:t>
      </w:r>
      <w:r>
        <w:t xml:space="preserve"> </w:t>
      </w:r>
      <w:r>
        <w:tab/>
      </w:r>
      <w:r w:rsidRPr="00E96453">
        <w:t>Confirm your organisation is registered with the PLSA.</w:t>
      </w:r>
    </w:p>
    <w:p w14:paraId="56A4D749" w14:textId="7245832D" w:rsidR="00E96453" w:rsidRPr="00E96453" w:rsidRDefault="00E96453" w:rsidP="00E96453">
      <w:pPr>
        <w:spacing w:after="0" w:line="240" w:lineRule="auto"/>
      </w:pPr>
      <w:sdt>
        <w:sdtPr>
          <w:id w:val="-1971589189"/>
          <w14:checkbox>
            <w14:checked w14:val="0"/>
            <w14:checkedState w14:val="2612" w14:font="MS Gothic"/>
            <w14:uncheckedState w14:val="2610" w14:font="MS Gothic"/>
          </w14:checkbox>
        </w:sdtPr>
        <w:sdtContent>
          <w:r>
            <w:rPr>
              <w:rFonts w:ascii="MS Gothic" w:eastAsia="MS Gothic" w:hAnsi="MS Gothic" w:hint="eastAsia"/>
            </w:rPr>
            <w:t>☐</w:t>
          </w:r>
        </w:sdtContent>
      </w:sdt>
      <w:r w:rsidRPr="00E96453">
        <w:t xml:space="preserve"> </w:t>
      </w:r>
      <w:r>
        <w:tab/>
      </w:r>
      <w:r w:rsidRPr="00E96453">
        <w:t>Ensure all eligible workers have been registered.</w:t>
      </w:r>
    </w:p>
    <w:p w14:paraId="0CE3EB95" w14:textId="26A1E2E6" w:rsidR="00E96453" w:rsidRPr="00E96453" w:rsidRDefault="00E96453" w:rsidP="00E96453">
      <w:pPr>
        <w:spacing w:after="0" w:line="240" w:lineRule="auto"/>
      </w:pPr>
      <w:sdt>
        <w:sdtPr>
          <w:id w:val="1197511037"/>
          <w14:checkbox>
            <w14:checked w14:val="0"/>
            <w14:checkedState w14:val="2612" w14:font="MS Gothic"/>
            <w14:uncheckedState w14:val="2610" w14:font="MS Gothic"/>
          </w14:checkbox>
        </w:sdtPr>
        <w:sdtContent>
          <w:r>
            <w:rPr>
              <w:rFonts w:ascii="MS Gothic" w:eastAsia="MS Gothic" w:hAnsi="MS Gothic" w:hint="eastAsia"/>
            </w:rPr>
            <w:t>☐</w:t>
          </w:r>
        </w:sdtContent>
      </w:sdt>
      <w:r w:rsidRPr="00E96453">
        <w:t xml:space="preserve"> </w:t>
      </w:r>
      <w:r>
        <w:tab/>
      </w:r>
      <w:r w:rsidRPr="00E96453">
        <w:t>Review any positions where coverage may be unclear.</w:t>
      </w:r>
    </w:p>
    <w:p w14:paraId="1ED1615D" w14:textId="214CB9D1" w:rsidR="00E96453" w:rsidRPr="00E96453" w:rsidRDefault="00E96453" w:rsidP="00E96453">
      <w:pPr>
        <w:spacing w:after="0" w:line="240" w:lineRule="auto"/>
      </w:pPr>
      <w:sdt>
        <w:sdtPr>
          <w:id w:val="-405063830"/>
          <w14:checkbox>
            <w14:checked w14:val="0"/>
            <w14:checkedState w14:val="2612" w14:font="MS Gothic"/>
            <w14:uncheckedState w14:val="2610" w14:font="MS Gothic"/>
          </w14:checkbox>
        </w:sdtPr>
        <w:sdtContent>
          <w:r>
            <w:rPr>
              <w:rFonts w:ascii="MS Gothic" w:eastAsia="MS Gothic" w:hAnsi="MS Gothic" w:hint="eastAsia"/>
            </w:rPr>
            <w:t>☐</w:t>
          </w:r>
        </w:sdtContent>
      </w:sdt>
      <w:r w:rsidRPr="00E96453">
        <w:t xml:space="preserve"> </w:t>
      </w:r>
      <w:r>
        <w:tab/>
        <w:t>S</w:t>
      </w:r>
      <w:r w:rsidRPr="00E96453">
        <w:t>eek advice from the PLSA regarding award coverage when uncertain.</w:t>
      </w:r>
    </w:p>
    <w:p w14:paraId="6190E308" w14:textId="6A25E8AA" w:rsidR="00E96453" w:rsidRPr="00E96453" w:rsidRDefault="00E96453" w:rsidP="00E96453">
      <w:pPr>
        <w:spacing w:after="0" w:line="240" w:lineRule="auto"/>
        <w:ind w:left="720" w:hanging="720"/>
      </w:pPr>
      <w:sdt>
        <w:sdtPr>
          <w:id w:val="-1393879682"/>
          <w14:checkbox>
            <w14:checked w14:val="0"/>
            <w14:checkedState w14:val="2612" w14:font="MS Gothic"/>
            <w14:uncheckedState w14:val="2610" w14:font="MS Gothic"/>
          </w14:checkbox>
        </w:sdtPr>
        <w:sdtContent>
          <w:r>
            <w:rPr>
              <w:rFonts w:ascii="MS Gothic" w:eastAsia="MS Gothic" w:hAnsi="MS Gothic" w:hint="eastAsia"/>
            </w:rPr>
            <w:t>☐</w:t>
          </w:r>
        </w:sdtContent>
      </w:sdt>
      <w:r w:rsidRPr="00E96453">
        <w:t xml:space="preserve"> </w:t>
      </w:r>
      <w:r>
        <w:tab/>
      </w:r>
      <w:r w:rsidRPr="00E96453">
        <w:t>Continue to monitor and account for long service leave liabilities separately from PLSL contributions.</w:t>
      </w:r>
    </w:p>
    <w:p w14:paraId="0E62973B" w14:textId="1A2D969D" w:rsidR="00E96453" w:rsidRPr="00E96453" w:rsidRDefault="00E96453" w:rsidP="00E96453">
      <w:pPr>
        <w:spacing w:after="0" w:line="240" w:lineRule="auto"/>
      </w:pPr>
      <w:sdt>
        <w:sdtPr>
          <w:id w:val="858700445"/>
          <w14:checkbox>
            <w14:checked w14:val="0"/>
            <w14:checkedState w14:val="2612" w14:font="MS Gothic"/>
            <w14:uncheckedState w14:val="2610" w14:font="MS Gothic"/>
          </w14:checkbox>
        </w:sdtPr>
        <w:sdtContent>
          <w:r>
            <w:rPr>
              <w:rFonts w:ascii="MS Gothic" w:eastAsia="MS Gothic" w:hAnsi="MS Gothic" w:hint="eastAsia"/>
            </w:rPr>
            <w:t>☐</w:t>
          </w:r>
        </w:sdtContent>
      </w:sdt>
      <w:r w:rsidRPr="00E96453">
        <w:t xml:space="preserve"> </w:t>
      </w:r>
      <w:r>
        <w:t xml:space="preserve"> </w:t>
      </w:r>
      <w:r>
        <w:tab/>
      </w:r>
      <w:r w:rsidRPr="00E96453">
        <w:t>Ensure payroll and bookkeeping staff understand both obligations.</w:t>
      </w:r>
    </w:p>
    <w:p w14:paraId="3EC3ADBB" w14:textId="77777777" w:rsidR="00E96453" w:rsidRDefault="00E96453" w:rsidP="00FC1B12">
      <w:pPr>
        <w:spacing w:after="0" w:line="240" w:lineRule="auto"/>
      </w:pPr>
    </w:p>
    <w:p w14:paraId="2CFEA181" w14:textId="77777777" w:rsidR="00EB6757" w:rsidRPr="00EB6757" w:rsidRDefault="00EB6757" w:rsidP="00EB6757">
      <w:pPr>
        <w:spacing w:after="0" w:line="240" w:lineRule="auto"/>
        <w:rPr>
          <w:b/>
          <w:bCs/>
        </w:rPr>
      </w:pPr>
      <w:r w:rsidRPr="00EB6757">
        <w:rPr>
          <w:b/>
          <w:bCs/>
        </w:rPr>
        <w:t>Further Information</w:t>
      </w:r>
    </w:p>
    <w:p w14:paraId="29203079" w14:textId="7A84A0F8" w:rsidR="00EB6757" w:rsidRDefault="00EB6757" w:rsidP="00EB6757">
      <w:pPr>
        <w:spacing w:after="0" w:line="240" w:lineRule="auto"/>
      </w:pPr>
      <w:r>
        <w:t xml:space="preserve">Visit the </w:t>
      </w:r>
      <w:hyperlink r:id="rId11" w:history="1">
        <w:r w:rsidRPr="00EB6757">
          <w:rPr>
            <w:rStyle w:val="Hyperlink"/>
          </w:rPr>
          <w:t>Portable Long Service Authority</w:t>
        </w:r>
        <w:r w:rsidRPr="00EB6757">
          <w:rPr>
            <w:rStyle w:val="Hyperlink"/>
          </w:rPr>
          <w:t xml:space="preserve"> [plsa.vic.gov.au]</w:t>
        </w:r>
      </w:hyperlink>
    </w:p>
    <w:p w14:paraId="3CA1BF29" w14:textId="77777777" w:rsidR="00EB6757" w:rsidRDefault="00EB6757" w:rsidP="00EB6757">
      <w:pPr>
        <w:spacing w:after="0" w:line="240" w:lineRule="auto"/>
      </w:pPr>
    </w:p>
    <w:p w14:paraId="22C02B08" w14:textId="2795E5E8" w:rsidR="00EB6757" w:rsidRPr="00EC77DC" w:rsidRDefault="00EB6757" w:rsidP="00EB6757">
      <w:pPr>
        <w:spacing w:after="0" w:line="240" w:lineRule="auto"/>
      </w:pPr>
      <w:r w:rsidRPr="00EB6757">
        <w:rPr>
          <w:b/>
          <w:bCs/>
        </w:rPr>
        <w:t>Disclaimer:</w:t>
      </w:r>
      <w:r>
        <w:t xml:space="preserve"> This information provides a general overview only and should not be relied upon as legal or industrial relations advice. Organisations should confirm their specific obligations with the Portable Long Service Authority and seek professional advice where required.</w:t>
      </w:r>
    </w:p>
    <w:sectPr w:rsidR="00EB6757" w:rsidRPr="00EC77D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F18F" w14:textId="77777777" w:rsidR="00001EE5" w:rsidRDefault="00001EE5" w:rsidP="007D1909">
      <w:pPr>
        <w:spacing w:after="0" w:line="240" w:lineRule="auto"/>
      </w:pPr>
      <w:r>
        <w:separator/>
      </w:r>
    </w:p>
  </w:endnote>
  <w:endnote w:type="continuationSeparator" w:id="0">
    <w:p w14:paraId="507CDADA" w14:textId="77777777" w:rsidR="00001EE5" w:rsidRDefault="00001EE5" w:rsidP="007D1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ECA6" w14:textId="77777777" w:rsidR="00BD7B39" w:rsidRPr="00426123" w:rsidRDefault="7E90BF5D" w:rsidP="7E90BF5D">
    <w:pPr>
      <w:pStyle w:val="Footer"/>
      <w:jc w:val="center"/>
      <w:rPr>
        <w:i/>
        <w:iCs/>
        <w:sz w:val="16"/>
        <w:szCs w:val="16"/>
      </w:rPr>
    </w:pPr>
    <w:bookmarkStart w:id="0" w:name="_Hlk187915454"/>
    <w:bookmarkStart w:id="1" w:name="_Hlk187915455"/>
    <w:bookmarkStart w:id="2" w:name="_Hlk187915927"/>
    <w:bookmarkStart w:id="3" w:name="_Hlk187915928"/>
    <w:bookmarkStart w:id="4" w:name="_Hlk187916395"/>
    <w:bookmarkStart w:id="5" w:name="_Hlk187916396"/>
    <w:bookmarkStart w:id="6" w:name="_Hlk187918414"/>
    <w:bookmarkStart w:id="7" w:name="_Hlk187918415"/>
    <w:bookmarkStart w:id="8" w:name="_Hlk187918416"/>
    <w:bookmarkStart w:id="9" w:name="_Hlk187918417"/>
    <w:r w:rsidRPr="7E90BF5D">
      <w:rPr>
        <w:i/>
        <w:iCs/>
        <w:sz w:val="16"/>
        <w:szCs w:val="16"/>
      </w:rPr>
      <w:t>This document created with assistance from the Central Highlands Association of Neighbourhood Houses</w:t>
    </w:r>
    <w:bookmarkEnd w:id="0"/>
    <w:bookmarkEnd w:id="1"/>
    <w:bookmarkEnd w:id="2"/>
    <w:bookmarkEnd w:id="3"/>
    <w:r w:rsidRPr="7E90BF5D">
      <w:rPr>
        <w:i/>
        <w:iCs/>
        <w:sz w:val="16"/>
        <w:szCs w:val="16"/>
      </w:rPr>
      <w:t xml:space="preserve"> chanh.org.au</w:t>
    </w:r>
    <w:bookmarkEnd w:id="4"/>
    <w:bookmarkEnd w:id="5"/>
    <w:bookmarkEnd w:id="6"/>
    <w:bookmarkEnd w:id="7"/>
    <w:bookmarkEnd w:id="8"/>
    <w:bookmarkEnd w:id="9"/>
  </w:p>
  <w:p w14:paraId="01D07792" w14:textId="78C4731E" w:rsidR="00BD7B39" w:rsidRPr="00692B4C" w:rsidRDefault="00EA3C6B" w:rsidP="00692B4C">
    <w:pPr>
      <w:pStyle w:val="Footer"/>
      <w:jc w:val="center"/>
      <w:rPr>
        <w:b/>
        <w:bCs/>
        <w:i/>
        <w:iCs/>
        <w:sz w:val="16"/>
        <w:szCs w:val="16"/>
      </w:rPr>
    </w:pPr>
    <w:r w:rsidRPr="00692B4C">
      <w:rPr>
        <w:rStyle w:val="normaltextrun"/>
        <w:rFonts w:ascii="Calibri" w:hAnsi="Calibri" w:cs="Calibri"/>
        <w:i/>
        <w:iCs/>
        <w:color w:val="000000"/>
        <w:sz w:val="16"/>
        <w:szCs w:val="16"/>
        <w:shd w:val="clear" w:color="auto" w:fill="FFFFFF"/>
      </w:rPr>
      <w:t>Created in reference to Our Community, Institute of Community Directors Australia and to </w:t>
    </w:r>
    <w:r w:rsidRPr="00692B4C">
      <w:rPr>
        <w:rStyle w:val="spellingerror"/>
        <w:rFonts w:ascii="Calibri" w:hAnsi="Calibri" w:cs="Calibri"/>
        <w:i/>
        <w:iCs/>
        <w:color w:val="000000"/>
        <w:sz w:val="16"/>
        <w:szCs w:val="16"/>
        <w:shd w:val="clear" w:color="auto" w:fill="FFFFFF"/>
      </w:rPr>
      <w:t>boardconnect</w:t>
    </w:r>
    <w:r w:rsidRPr="00692B4C">
      <w:rPr>
        <w:rStyle w:val="normaltextrun"/>
        <w:rFonts w:ascii="Calibri" w:hAnsi="Calibri" w:cs="Calibri"/>
        <w:i/>
        <w:iCs/>
        <w:color w:val="000000"/>
        <w:sz w:val="16"/>
        <w:szCs w:val="16"/>
        <w:shd w:val="clear" w:color="auto" w:fill="FFFFFF"/>
      </w:rPr>
      <w:t>.com.au</w:t>
    </w:r>
    <w:r w:rsidR="007D1909">
      <w:rPr>
        <w:rStyle w:val="normaltextrun"/>
        <w:rFonts w:ascii="Calibri" w:hAnsi="Calibri" w:cs="Calibri"/>
        <w:i/>
        <w:iCs/>
        <w:color w:val="000000"/>
        <w:sz w:val="16"/>
        <w:szCs w:val="16"/>
        <w:shd w:val="clear" w:color="auto" w:fil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6A6FE" w14:textId="77777777" w:rsidR="00001EE5" w:rsidRDefault="00001EE5" w:rsidP="007D1909">
      <w:pPr>
        <w:spacing w:after="0" w:line="240" w:lineRule="auto"/>
      </w:pPr>
      <w:r>
        <w:separator/>
      </w:r>
    </w:p>
  </w:footnote>
  <w:footnote w:type="continuationSeparator" w:id="0">
    <w:p w14:paraId="622C294E" w14:textId="77777777" w:rsidR="00001EE5" w:rsidRDefault="00001EE5" w:rsidP="007D1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8BF"/>
    <w:multiLevelType w:val="hybridMultilevel"/>
    <w:tmpl w:val="4CF25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66555"/>
    <w:multiLevelType w:val="multilevel"/>
    <w:tmpl w:val="FF668AA6"/>
    <w:lvl w:ilvl="0">
      <w:start w:val="1"/>
      <w:numFmt w:val="decimal"/>
      <w:lvlText w:val="%1."/>
      <w:lvlJc w:val="left"/>
      <w:pPr>
        <w:tabs>
          <w:tab w:val="num" w:pos="720"/>
        </w:tabs>
        <w:ind w:left="720" w:hanging="360"/>
      </w:pPr>
      <w:rPr>
        <w:rFonts w:ascii="Calibri" w:eastAsia="Times New Roman"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5489A"/>
    <w:multiLevelType w:val="multilevel"/>
    <w:tmpl w:val="098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51806"/>
    <w:multiLevelType w:val="hybridMultilevel"/>
    <w:tmpl w:val="B74429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3856B49"/>
    <w:multiLevelType w:val="multilevel"/>
    <w:tmpl w:val="1F5E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66928"/>
    <w:multiLevelType w:val="hybridMultilevel"/>
    <w:tmpl w:val="F88C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562EC6"/>
    <w:multiLevelType w:val="hybridMultilevel"/>
    <w:tmpl w:val="41DE6AC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405D716D"/>
    <w:multiLevelType w:val="multilevel"/>
    <w:tmpl w:val="77D4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636B7"/>
    <w:multiLevelType w:val="hybridMultilevel"/>
    <w:tmpl w:val="F9060E1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9C84FCF"/>
    <w:multiLevelType w:val="multilevel"/>
    <w:tmpl w:val="FB2E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242FDA"/>
    <w:multiLevelType w:val="hybridMultilevel"/>
    <w:tmpl w:val="05303B2A"/>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11" w15:restartNumberingAfterBreak="0">
    <w:nsid w:val="54475E64"/>
    <w:multiLevelType w:val="hybridMultilevel"/>
    <w:tmpl w:val="CADAA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A4CA0"/>
    <w:multiLevelType w:val="multilevel"/>
    <w:tmpl w:val="D960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B451F"/>
    <w:multiLevelType w:val="multilevel"/>
    <w:tmpl w:val="DA04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1F3F2E"/>
    <w:multiLevelType w:val="hybridMultilevel"/>
    <w:tmpl w:val="033C8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9255605">
    <w:abstractNumId w:val="12"/>
  </w:num>
  <w:num w:numId="2" w16cid:durableId="80837776">
    <w:abstractNumId w:val="9"/>
  </w:num>
  <w:num w:numId="3" w16cid:durableId="1639145018">
    <w:abstractNumId w:val="7"/>
  </w:num>
  <w:num w:numId="4" w16cid:durableId="505947823">
    <w:abstractNumId w:val="1"/>
  </w:num>
  <w:num w:numId="5" w16cid:durableId="1113287714">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400249583">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843280499">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1680767317">
    <w:abstractNumId w:val="1"/>
    <w:lvlOverride w:ilvl="1">
      <w:lvl w:ilvl="1">
        <w:numFmt w:val="bullet"/>
        <w:lvlText w:val=""/>
        <w:lvlJc w:val="left"/>
        <w:pPr>
          <w:tabs>
            <w:tab w:val="num" w:pos="1440"/>
          </w:tabs>
          <w:ind w:left="1440" w:hanging="360"/>
        </w:pPr>
        <w:rPr>
          <w:rFonts w:ascii="Symbol" w:hAnsi="Symbol" w:hint="default"/>
          <w:sz w:val="20"/>
        </w:rPr>
      </w:lvl>
    </w:lvlOverride>
  </w:num>
  <w:num w:numId="9" w16cid:durableId="1730961951">
    <w:abstractNumId w:val="1"/>
    <w:lvlOverride w:ilvl="1">
      <w:lvl w:ilvl="1">
        <w:numFmt w:val="bullet"/>
        <w:lvlText w:val=""/>
        <w:lvlJc w:val="left"/>
        <w:pPr>
          <w:tabs>
            <w:tab w:val="num" w:pos="1440"/>
          </w:tabs>
          <w:ind w:left="1440" w:hanging="360"/>
        </w:pPr>
        <w:rPr>
          <w:rFonts w:ascii="Symbol" w:hAnsi="Symbol" w:hint="default"/>
          <w:sz w:val="20"/>
        </w:rPr>
      </w:lvl>
    </w:lvlOverride>
  </w:num>
  <w:num w:numId="10" w16cid:durableId="1242178996">
    <w:abstractNumId w:val="1"/>
    <w:lvlOverride w:ilvl="1">
      <w:lvl w:ilvl="1">
        <w:numFmt w:val="bullet"/>
        <w:lvlText w:val=""/>
        <w:lvlJc w:val="left"/>
        <w:pPr>
          <w:tabs>
            <w:tab w:val="num" w:pos="1440"/>
          </w:tabs>
          <w:ind w:left="1440" w:hanging="360"/>
        </w:pPr>
        <w:rPr>
          <w:rFonts w:ascii="Symbol" w:hAnsi="Symbol" w:hint="default"/>
          <w:sz w:val="20"/>
        </w:rPr>
      </w:lvl>
    </w:lvlOverride>
  </w:num>
  <w:num w:numId="11" w16cid:durableId="839664656">
    <w:abstractNumId w:val="11"/>
  </w:num>
  <w:num w:numId="12" w16cid:durableId="601303017">
    <w:abstractNumId w:val="10"/>
  </w:num>
  <w:num w:numId="13" w16cid:durableId="1866211868">
    <w:abstractNumId w:val="5"/>
  </w:num>
  <w:num w:numId="14" w16cid:durableId="1064987966">
    <w:abstractNumId w:val="6"/>
  </w:num>
  <w:num w:numId="15" w16cid:durableId="473834535">
    <w:abstractNumId w:val="3"/>
  </w:num>
  <w:num w:numId="16" w16cid:durableId="1361084326">
    <w:abstractNumId w:val="8"/>
  </w:num>
  <w:num w:numId="17" w16cid:durableId="492376904">
    <w:abstractNumId w:val="4"/>
  </w:num>
  <w:num w:numId="18" w16cid:durableId="812530403">
    <w:abstractNumId w:val="13"/>
  </w:num>
  <w:num w:numId="19" w16cid:durableId="657878856">
    <w:abstractNumId w:val="14"/>
  </w:num>
  <w:num w:numId="20" w16cid:durableId="1732583243">
    <w:abstractNumId w:val="2"/>
  </w:num>
  <w:num w:numId="21" w16cid:durableId="26793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DC"/>
    <w:rsid w:val="00001EE5"/>
    <w:rsid w:val="0004375D"/>
    <w:rsid w:val="00064F94"/>
    <w:rsid w:val="001F4D13"/>
    <w:rsid w:val="002D3840"/>
    <w:rsid w:val="002E3DE2"/>
    <w:rsid w:val="00340FF3"/>
    <w:rsid w:val="00451A05"/>
    <w:rsid w:val="00454D2C"/>
    <w:rsid w:val="00541B09"/>
    <w:rsid w:val="00645447"/>
    <w:rsid w:val="006E60F3"/>
    <w:rsid w:val="00702159"/>
    <w:rsid w:val="007D1909"/>
    <w:rsid w:val="00896D6F"/>
    <w:rsid w:val="00953C6D"/>
    <w:rsid w:val="00967BDA"/>
    <w:rsid w:val="00BD7B39"/>
    <w:rsid w:val="00C36287"/>
    <w:rsid w:val="00CF3CB7"/>
    <w:rsid w:val="00D01DB5"/>
    <w:rsid w:val="00E96453"/>
    <w:rsid w:val="00EA3C6B"/>
    <w:rsid w:val="00EB6757"/>
    <w:rsid w:val="00EC77DC"/>
    <w:rsid w:val="00F85EDA"/>
    <w:rsid w:val="00FC1B12"/>
    <w:rsid w:val="7E90BF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7752"/>
  <w15:chartTrackingRefBased/>
  <w15:docId w15:val="{39D78006-C08B-4D3B-9F7D-F14ED3C9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DC"/>
    <w:rPr>
      <w:kern w:val="0"/>
      <w:lang w:eastAsia="en-AU"/>
      <w14:ligatures w14:val="none"/>
    </w:rPr>
  </w:style>
  <w:style w:type="paragraph" w:styleId="Heading1">
    <w:name w:val="heading 1"/>
    <w:basedOn w:val="Normal"/>
    <w:next w:val="Normal"/>
    <w:link w:val="Heading1Char"/>
    <w:uiPriority w:val="9"/>
    <w:qFormat/>
    <w:rsid w:val="00EC7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7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7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7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7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7DC"/>
    <w:rPr>
      <w:rFonts w:eastAsiaTheme="majorEastAsia" w:cstheme="majorBidi"/>
      <w:color w:val="272727" w:themeColor="text1" w:themeTint="D8"/>
    </w:rPr>
  </w:style>
  <w:style w:type="paragraph" w:styleId="Title">
    <w:name w:val="Title"/>
    <w:basedOn w:val="Normal"/>
    <w:next w:val="Normal"/>
    <w:link w:val="TitleChar"/>
    <w:uiPriority w:val="10"/>
    <w:qFormat/>
    <w:rsid w:val="00EC7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7DC"/>
    <w:pPr>
      <w:spacing w:before="160"/>
      <w:jc w:val="center"/>
    </w:pPr>
    <w:rPr>
      <w:i/>
      <w:iCs/>
      <w:color w:val="404040" w:themeColor="text1" w:themeTint="BF"/>
    </w:rPr>
  </w:style>
  <w:style w:type="character" w:customStyle="1" w:styleId="QuoteChar">
    <w:name w:val="Quote Char"/>
    <w:basedOn w:val="DefaultParagraphFont"/>
    <w:link w:val="Quote"/>
    <w:uiPriority w:val="29"/>
    <w:rsid w:val="00EC77DC"/>
    <w:rPr>
      <w:i/>
      <w:iCs/>
      <w:color w:val="404040" w:themeColor="text1" w:themeTint="BF"/>
    </w:rPr>
  </w:style>
  <w:style w:type="paragraph" w:styleId="ListParagraph">
    <w:name w:val="List Paragraph"/>
    <w:basedOn w:val="Normal"/>
    <w:uiPriority w:val="34"/>
    <w:qFormat/>
    <w:rsid w:val="00EC77DC"/>
    <w:pPr>
      <w:ind w:left="720"/>
      <w:contextualSpacing/>
    </w:pPr>
  </w:style>
  <w:style w:type="character" w:styleId="IntenseEmphasis">
    <w:name w:val="Intense Emphasis"/>
    <w:basedOn w:val="DefaultParagraphFont"/>
    <w:uiPriority w:val="21"/>
    <w:qFormat/>
    <w:rsid w:val="00EC77DC"/>
    <w:rPr>
      <w:i/>
      <w:iCs/>
      <w:color w:val="0F4761" w:themeColor="accent1" w:themeShade="BF"/>
    </w:rPr>
  </w:style>
  <w:style w:type="paragraph" w:styleId="IntenseQuote">
    <w:name w:val="Intense Quote"/>
    <w:basedOn w:val="Normal"/>
    <w:next w:val="Normal"/>
    <w:link w:val="IntenseQuoteChar"/>
    <w:uiPriority w:val="30"/>
    <w:qFormat/>
    <w:rsid w:val="00EC7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7DC"/>
    <w:rPr>
      <w:i/>
      <w:iCs/>
      <w:color w:val="0F4761" w:themeColor="accent1" w:themeShade="BF"/>
    </w:rPr>
  </w:style>
  <w:style w:type="character" w:styleId="IntenseReference">
    <w:name w:val="Intense Reference"/>
    <w:basedOn w:val="DefaultParagraphFont"/>
    <w:uiPriority w:val="32"/>
    <w:qFormat/>
    <w:rsid w:val="00EC77DC"/>
    <w:rPr>
      <w:b/>
      <w:bCs/>
      <w:smallCaps/>
      <w:color w:val="0F4761" w:themeColor="accent1" w:themeShade="BF"/>
      <w:spacing w:val="5"/>
    </w:rPr>
  </w:style>
  <w:style w:type="character" w:customStyle="1" w:styleId="normaltextrun">
    <w:name w:val="normaltextrun"/>
    <w:basedOn w:val="DefaultParagraphFont"/>
    <w:rsid w:val="00EC77DC"/>
  </w:style>
  <w:style w:type="character" w:customStyle="1" w:styleId="spellingerror">
    <w:name w:val="spellingerror"/>
    <w:basedOn w:val="DefaultParagraphFont"/>
    <w:rsid w:val="00EC77DC"/>
  </w:style>
  <w:style w:type="paragraph" w:styleId="Footer">
    <w:name w:val="footer"/>
    <w:basedOn w:val="Normal"/>
    <w:link w:val="FooterChar"/>
    <w:uiPriority w:val="99"/>
    <w:unhideWhenUsed/>
    <w:rsid w:val="00EC7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7DC"/>
    <w:rPr>
      <w:kern w:val="0"/>
      <w:lang w:eastAsia="en-AU"/>
      <w14:ligatures w14:val="none"/>
    </w:rPr>
  </w:style>
  <w:style w:type="paragraph" w:styleId="Header">
    <w:name w:val="header"/>
    <w:basedOn w:val="Normal"/>
    <w:link w:val="HeaderChar"/>
    <w:uiPriority w:val="99"/>
    <w:unhideWhenUsed/>
    <w:rsid w:val="007D19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909"/>
    <w:rPr>
      <w:kern w:val="0"/>
      <w:lang w:eastAsia="en-AU"/>
      <w14:ligatures w14:val="none"/>
    </w:rPr>
  </w:style>
  <w:style w:type="character" w:styleId="Hyperlink">
    <w:name w:val="Hyperlink"/>
    <w:basedOn w:val="DefaultParagraphFont"/>
    <w:uiPriority w:val="99"/>
    <w:unhideWhenUsed/>
    <w:rsid w:val="00645447"/>
    <w:rPr>
      <w:color w:val="467886" w:themeColor="hyperlink"/>
      <w:u w:val="single"/>
    </w:rPr>
  </w:style>
  <w:style w:type="character" w:styleId="UnresolvedMention">
    <w:name w:val="Unresolved Mention"/>
    <w:basedOn w:val="DefaultParagraphFont"/>
    <w:uiPriority w:val="99"/>
    <w:semiHidden/>
    <w:unhideWhenUsed/>
    <w:rsid w:val="00645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35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plsa.vic.gov.a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586FA49EEFB54795D79B5A5031448D" ma:contentTypeVersion="18" ma:contentTypeDescription="Create a new document." ma:contentTypeScope="" ma:versionID="ad353d58470e39836af28aec2ca02cc4">
  <xsd:schema xmlns:xsd="http://www.w3.org/2001/XMLSchema" xmlns:xs="http://www.w3.org/2001/XMLSchema" xmlns:p="http://schemas.microsoft.com/office/2006/metadata/properties" xmlns:ns3="dc5e06b0-0ec9-46eb-8742-43f3af7bab33" xmlns:ns4="87ee60e2-e5e4-4bdd-9c57-cd0fa0c938da" targetNamespace="http://schemas.microsoft.com/office/2006/metadata/properties" ma:root="true" ma:fieldsID="a5a49bc8fae44d41d1fb2b87f200ee22" ns3:_="" ns4:_="">
    <xsd:import namespace="dc5e06b0-0ec9-46eb-8742-43f3af7bab33"/>
    <xsd:import namespace="87ee60e2-e5e4-4bdd-9c57-cd0fa0c938d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e06b0-0ec9-46eb-8742-43f3af7ba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e60e2-e5e4-4bdd-9c57-cd0fa0c938d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c5e06b0-0ec9-46eb-8742-43f3af7bab33" xsi:nil="true"/>
  </documentManagement>
</p:properties>
</file>

<file path=customXml/itemProps1.xml><?xml version="1.0" encoding="utf-8"?>
<ds:datastoreItem xmlns:ds="http://schemas.openxmlformats.org/officeDocument/2006/customXml" ds:itemID="{C29ED9DE-7C36-4F49-B448-5C10E7E10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e06b0-0ec9-46eb-8742-43f3af7bab33"/>
    <ds:schemaRef ds:uri="87ee60e2-e5e4-4bdd-9c57-cd0fa0c93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41B26-C65E-43B7-AFAC-1DAC7EA793C2}">
  <ds:schemaRefs>
    <ds:schemaRef ds:uri="http://schemas.microsoft.com/sharepoint/v3/contenttype/forms"/>
  </ds:schemaRefs>
</ds:datastoreItem>
</file>

<file path=customXml/itemProps3.xml><?xml version="1.0" encoding="utf-8"?>
<ds:datastoreItem xmlns:ds="http://schemas.openxmlformats.org/officeDocument/2006/customXml" ds:itemID="{14890C77-44B1-4834-9E46-2F701E6707AE}">
  <ds:schemaRefs>
    <ds:schemaRef ds:uri="http://schemas.microsoft.com/office/2006/metadata/properties"/>
    <ds:schemaRef ds:uri="http://schemas.microsoft.com/office/infopath/2007/PartnerControls"/>
    <ds:schemaRef ds:uri="dc5e06b0-0ec9-46eb-8742-43f3af7bab3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580</Words>
  <Characters>3504</Characters>
  <Application>Microsoft Office Word</Application>
  <DocSecurity>0</DocSecurity>
  <Lines>92</Lines>
  <Paragraphs>81</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Grimwood</dc:creator>
  <cp:keywords/>
  <dc:description/>
  <cp:lastModifiedBy>Jane Grimwood</cp:lastModifiedBy>
  <cp:revision>13</cp:revision>
  <dcterms:created xsi:type="dcterms:W3CDTF">2026-07-16T04:22:00Z</dcterms:created>
  <dcterms:modified xsi:type="dcterms:W3CDTF">2026-07-16T04:31:00Z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0x01010027586FA49EEFB54795D79B5A5031448D</vt:lpwstr>
  </property>
</Properties>
</file>